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C4C" w:rsidRDefault="006F0B14">
      <w:pPr>
        <w:pStyle w:val="af0"/>
        <w:widowControl w:val="0"/>
        <w:tabs>
          <w:tab w:val="left" w:pos="1702"/>
          <w:tab w:val="right" w:pos="9923"/>
        </w:tabs>
        <w:spacing w:before="120" w:after="0"/>
        <w:jc w:val="left"/>
        <w:rPr>
          <w:rFonts w:ascii="Times New Roman" w:hAnsi="Times New Roman"/>
          <w:sz w:val="20"/>
        </w:rPr>
      </w:pPr>
      <w:r>
        <w:rPr>
          <w:rFonts w:cs="Arial"/>
          <w:b/>
          <w:bCs/>
          <w:snapToGrid w:val="0"/>
        </w:rPr>
        <w:t>3GPP TSG-RAN WG2 Meeting #107</w:t>
      </w:r>
      <w:r w:rsidR="002056EB">
        <w:rPr>
          <w:rFonts w:ascii="Times New Roman" w:eastAsia="MS Mincho" w:hAnsi="Times New Roman"/>
          <w:b/>
          <w:sz w:val="20"/>
        </w:rPr>
        <w:tab/>
      </w:r>
      <w:r w:rsidR="004766A5" w:rsidRPr="006F0B14">
        <w:rPr>
          <w:rFonts w:cs="Arial"/>
          <w:b/>
          <w:bCs/>
          <w:snapToGrid w:val="0"/>
        </w:rPr>
        <w:t>R2-1909465</w:t>
      </w:r>
      <w:r w:rsidR="004766A5" w:rsidRPr="004766A5">
        <w:rPr>
          <w:rFonts w:ascii="Times New Roman" w:eastAsia="MS Mincho" w:hAnsi="Times New Roman"/>
          <w:b/>
          <w:sz w:val="20"/>
        </w:rPr>
        <w:tab/>
      </w:r>
    </w:p>
    <w:p w:rsidR="006F0B14" w:rsidRPr="00CE1B17" w:rsidRDefault="006F0B14" w:rsidP="006F0B14">
      <w:pPr>
        <w:snapToGrid w:val="0"/>
        <w:jc w:val="left"/>
        <w:rPr>
          <w:rFonts w:cs="Arial"/>
          <w:b/>
          <w:bCs/>
          <w:sz w:val="24"/>
        </w:rPr>
      </w:pPr>
      <w:r w:rsidRPr="00CE1B17">
        <w:rPr>
          <w:rFonts w:cs="Arial"/>
          <w:b/>
          <w:bCs/>
          <w:snapToGrid w:val="0"/>
          <w:sz w:val="24"/>
        </w:rPr>
        <w:t>Prague, 26th – 30th August 2019</w:t>
      </w:r>
      <w:r w:rsidRPr="00CE1B17">
        <w:rPr>
          <w:rFonts w:cs="Arial"/>
          <w:b/>
          <w:bCs/>
          <w:sz w:val="24"/>
        </w:rPr>
        <w:t xml:space="preserve">                            </w:t>
      </w:r>
    </w:p>
    <w:p w:rsidR="00D1681F" w:rsidRDefault="00D1681F">
      <w:pPr>
        <w:pStyle w:val="3GPPHeader"/>
        <w:rPr>
          <w:rFonts w:ascii="Times New Roman" w:hAnsi="Times New Roman"/>
          <w:sz w:val="20"/>
        </w:rPr>
      </w:pPr>
    </w:p>
    <w:p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Pr>
          <w:rFonts w:ascii="Times New Roman" w:eastAsia="宋体" w:hAnsi="Times New Roman"/>
          <w:sz w:val="20"/>
        </w:rPr>
        <w:t>11.9.2</w:t>
      </w:r>
      <w:r w:rsidR="00D1681F">
        <w:rPr>
          <w:rFonts w:ascii="Times New Roman" w:eastAsia="宋体" w:hAnsi="Times New Roman"/>
          <w:sz w:val="20"/>
        </w:rPr>
        <w:t>.1</w:t>
      </w:r>
    </w:p>
    <w:p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rsidR="00156C4C" w:rsidRDefault="002056EB">
      <w:pPr>
        <w:pStyle w:val="3GPPHeader"/>
        <w:rPr>
          <w:rFonts w:ascii="Times New Roman" w:eastAsia="宋体" w:hAnsi="Times New Roman"/>
          <w:sz w:val="20"/>
        </w:rPr>
      </w:pPr>
      <w:r>
        <w:rPr>
          <w:rFonts w:ascii="Times New Roman" w:hAnsi="Times New Roman"/>
          <w:sz w:val="20"/>
        </w:rPr>
        <w:t>Title:</w:t>
      </w:r>
      <w:r>
        <w:rPr>
          <w:rFonts w:ascii="Times New Roman" w:hAnsi="Times New Roman"/>
          <w:sz w:val="20"/>
        </w:rPr>
        <w:tab/>
      </w:r>
      <w:r w:rsidR="004766A5" w:rsidRPr="004766A5">
        <w:rPr>
          <w:rFonts w:ascii="Times New Roman" w:eastAsia="宋体" w:hAnsi="Times New Roman"/>
          <w:sz w:val="20"/>
        </w:rPr>
        <w:t>Comparison between non-DC and DC-based solutions for NR</w:t>
      </w:r>
    </w:p>
    <w:p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rsidR="00156C4C" w:rsidRDefault="002056EB">
      <w:pPr>
        <w:pStyle w:val="1"/>
        <w:rPr>
          <w:rFonts w:ascii="Times New Roman" w:hAnsi="Times New Roman" w:cs="Times New Roman"/>
          <w:sz w:val="32"/>
          <w:szCs w:val="32"/>
        </w:rPr>
      </w:pPr>
      <w:r>
        <w:rPr>
          <w:rFonts w:ascii="Times New Roman" w:hAnsi="Times New Roman" w:cs="Times New Roman"/>
          <w:sz w:val="32"/>
          <w:szCs w:val="32"/>
        </w:rPr>
        <w:t>Introduction</w:t>
      </w:r>
    </w:p>
    <w:p w:rsidR="00D1681F" w:rsidRDefault="00D1681F" w:rsidP="00D1681F">
      <w:r>
        <w:t xml:space="preserve">In RAN2#105bis meeting, the relevant intermediate conclusions are achieved as follows </w:t>
      </w:r>
      <w:r>
        <w:rPr>
          <w:rFonts w:eastAsia="宋体"/>
        </w:rPr>
        <w:t>[1]</w:t>
      </w:r>
      <w:r>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D1681F" w:rsidTr="00D1681F">
        <w:tc>
          <w:tcPr>
            <w:tcW w:w="8613" w:type="dxa"/>
            <w:shd w:val="clear" w:color="auto" w:fill="auto"/>
          </w:tcPr>
          <w:p w:rsidR="00D1681F" w:rsidRPr="004A2561" w:rsidRDefault="00D1681F" w:rsidP="004A2561">
            <w:pPr>
              <w:rPr>
                <w:b/>
              </w:rPr>
            </w:pPr>
            <w:r w:rsidRPr="004A2561">
              <w:rPr>
                <w:b/>
              </w:rPr>
              <w:t>Agreements</w:t>
            </w:r>
          </w:p>
          <w:p w:rsidR="00D1681F" w:rsidRDefault="00D1681F" w:rsidP="004A2561">
            <w:r>
              <w:t>1</w:t>
            </w:r>
            <w:r>
              <w:tab/>
              <w:t xml:space="preserve">The solutions to be introduced for handover interruption time reduction will only address cases where UE is able to receive simultaneously from source and target cells (both within FR1). (This is based on the assumption that RAN1/4 indicate that simultaneous </w:t>
            </w:r>
            <w:proofErr w:type="spellStart"/>
            <w:r>
              <w:t>rx</w:t>
            </w:r>
            <w:proofErr w:type="spellEnd"/>
            <w:r>
              <w:t xml:space="preserve"> is available in the majority of FR1 deployment scenarios)</w:t>
            </w:r>
          </w:p>
          <w:p w:rsidR="00D1681F" w:rsidRDefault="00D1681F" w:rsidP="004A2561">
            <w:r>
              <w:t>2</w:t>
            </w:r>
            <w:r>
              <w:tab/>
              <w:t>We will identify the key aspects of the solutions that are common and that are different. The aspects that are different can then be considered in the decision process.</w:t>
            </w:r>
          </w:p>
          <w:p w:rsidR="00D1681F" w:rsidRDefault="00D1681F" w:rsidP="004A2561">
            <w:r>
              <w:t>3</w:t>
            </w:r>
            <w:r>
              <w:tab/>
              <w:t xml:space="preserve">We will define an interruption time definition that we can use in our evaluation of different solutions (starting point is to use one of the definitions that is already available in 3GPP, e.g. 38.913, RAN4, </w:t>
            </w:r>
            <w:proofErr w:type="spellStart"/>
            <w:r>
              <w:t>etc</w:t>
            </w:r>
            <w:proofErr w:type="spellEnd"/>
            <w:r>
              <w:t>).</w:t>
            </w:r>
          </w:p>
        </w:tc>
      </w:tr>
    </w:tbl>
    <w:p w:rsidR="006E5BAD" w:rsidRDefault="006E5BAD" w:rsidP="00D1681F">
      <w:pPr>
        <w:spacing w:before="120"/>
        <w:rPr>
          <w:rFonts w:eastAsia="宋体" w:cs="Arial"/>
        </w:rPr>
      </w:pPr>
    </w:p>
    <w:p w:rsidR="00D1681F" w:rsidRDefault="00D1681F" w:rsidP="00D1681F">
      <w:pPr>
        <w:spacing w:before="120"/>
        <w:rPr>
          <w:rFonts w:eastAsia="宋体" w:cs="Arial"/>
        </w:rPr>
      </w:pPr>
      <w:r w:rsidRPr="00D1681F">
        <w:rPr>
          <w:rFonts w:eastAsia="宋体" w:cs="Arial" w:hint="eastAsia"/>
        </w:rPr>
        <w:t xml:space="preserve">And in </w:t>
      </w:r>
      <w:r w:rsidRPr="00D1681F">
        <w:rPr>
          <w:rFonts w:eastAsia="宋体" w:cs="Arial"/>
        </w:rPr>
        <w:t>RAN2</w:t>
      </w:r>
      <w:r w:rsidR="004A2561">
        <w:rPr>
          <w:rFonts w:eastAsia="宋体" w:cs="Arial"/>
        </w:rPr>
        <w:t>#</w:t>
      </w:r>
      <w:r w:rsidRPr="00D1681F">
        <w:rPr>
          <w:rFonts w:eastAsia="宋体" w:cs="Arial"/>
        </w:rPr>
        <w:t xml:space="preserve">106 meeting, some agreements were reached </w:t>
      </w:r>
      <w:r w:rsidR="004A2561">
        <w:rPr>
          <w:rFonts w:eastAsia="宋体" w:cs="Arial"/>
        </w:rPr>
        <w:t>as</w:t>
      </w:r>
      <w:r w:rsidRPr="00D1681F">
        <w:rPr>
          <w:rFonts w:eastAsia="宋体" w:cs="Arial"/>
        </w:rPr>
        <w:t xml:space="preserve"> the follow</w:t>
      </w:r>
      <w:r w:rsidR="004A2561">
        <w:rPr>
          <w:rFonts w:eastAsia="宋体" w:cs="Arial"/>
        </w:rPr>
        <w:t>s</w:t>
      </w:r>
      <w:r w:rsidRPr="00D1681F">
        <w:rPr>
          <w:rFonts w:eastAsia="宋体" w:cs="Arial"/>
        </w:rPr>
        <w:t xml:space="preserve"> [2]:</w:t>
      </w:r>
    </w:p>
    <w:p w:rsidR="00D1681F" w:rsidRDefault="00D1681F" w:rsidP="00D1681F">
      <w:pPr>
        <w:pStyle w:val="Doc-text2"/>
        <w:pBdr>
          <w:top w:val="single" w:sz="4" w:space="1" w:color="auto"/>
          <w:left w:val="single" w:sz="4" w:space="4" w:color="auto"/>
          <w:bottom w:val="single" w:sz="4" w:space="1" w:color="auto"/>
          <w:right w:val="single" w:sz="4" w:space="4" w:color="auto"/>
        </w:pBdr>
        <w:rPr>
          <w:b/>
        </w:rPr>
      </w:pPr>
      <w:r w:rsidRPr="004A2561">
        <w:rPr>
          <w:b/>
        </w:rPr>
        <w:t>Agreements</w:t>
      </w:r>
    </w:p>
    <w:p w:rsidR="004A2561" w:rsidRPr="004A2561" w:rsidRDefault="004A2561" w:rsidP="00D1681F">
      <w:pPr>
        <w:pStyle w:val="Doc-text2"/>
        <w:pBdr>
          <w:top w:val="single" w:sz="4" w:space="1" w:color="auto"/>
          <w:left w:val="single" w:sz="4" w:space="4" w:color="auto"/>
          <w:bottom w:val="single" w:sz="4" w:space="1" w:color="auto"/>
          <w:right w:val="single" w:sz="4" w:space="4" w:color="auto"/>
        </w:pBdr>
        <w:rPr>
          <w:b/>
        </w:rPr>
      </w:pPr>
    </w:p>
    <w:p w:rsidR="00D1681F" w:rsidRDefault="00D1681F" w:rsidP="00D1681F">
      <w:pPr>
        <w:pStyle w:val="Doc-text2"/>
        <w:pBdr>
          <w:top w:val="single" w:sz="4" w:space="1" w:color="auto"/>
          <w:left w:val="single" w:sz="4" w:space="4" w:color="auto"/>
          <w:bottom w:val="single" w:sz="4" w:space="1" w:color="auto"/>
          <w:right w:val="single" w:sz="4" w:space="4" w:color="auto"/>
        </w:pBdr>
      </w:pPr>
      <w:r>
        <w:t>1:</w:t>
      </w:r>
      <w:r>
        <w:tab/>
        <w:t xml:space="preserve">Mobility interruption time means the shortest time duration supported by the system during which a user terminal is not able to exchange user plane packets with any base station during transitions.   </w:t>
      </w:r>
    </w:p>
    <w:p w:rsidR="00D1681F" w:rsidRDefault="00D1681F" w:rsidP="00D1681F">
      <w:pPr>
        <w:pStyle w:val="Doc-text2"/>
        <w:pBdr>
          <w:top w:val="single" w:sz="4" w:space="1" w:color="auto"/>
          <w:left w:val="single" w:sz="4" w:space="4" w:color="auto"/>
          <w:bottom w:val="single" w:sz="4" w:space="1" w:color="auto"/>
          <w:right w:val="single" w:sz="4" w:space="4" w:color="auto"/>
        </w:pBdr>
      </w:pPr>
      <w:r>
        <w:t>2:</w:t>
      </w:r>
      <w:r>
        <w:tab/>
        <w:t>RAN2 common understanding is to reduce interruption time at radio (i.e. air interface) level during mobility (i.e. handover) to improve user experience at service/application layer.</w:t>
      </w:r>
    </w:p>
    <w:p w:rsidR="00D1681F" w:rsidRDefault="00D1681F" w:rsidP="00D1681F">
      <w:pPr>
        <w:pStyle w:val="Doc-text2"/>
        <w:pBdr>
          <w:top w:val="single" w:sz="4" w:space="1" w:color="auto"/>
          <w:left w:val="single" w:sz="4" w:space="4" w:color="auto"/>
          <w:bottom w:val="single" w:sz="4" w:space="1" w:color="auto"/>
          <w:right w:val="single" w:sz="4" w:space="4" w:color="auto"/>
        </w:pBdr>
      </w:pPr>
      <w:r>
        <w:t xml:space="preserve">3: </w:t>
      </w:r>
      <w:r>
        <w:tab/>
        <w:t>RAN2 aim to develop protocol design to achieve strict 0ms (if feasible) else close to 0ms interruption time on radio level during handover considering UE capabilities and deployment scenarios.</w:t>
      </w:r>
    </w:p>
    <w:p w:rsidR="00D1681F" w:rsidRDefault="00D1681F" w:rsidP="00D1681F">
      <w:pPr>
        <w:pStyle w:val="Doc-text2"/>
        <w:pBdr>
          <w:top w:val="single" w:sz="4" w:space="1" w:color="auto"/>
          <w:left w:val="single" w:sz="4" w:space="4" w:color="auto"/>
          <w:bottom w:val="single" w:sz="4" w:space="1" w:color="auto"/>
          <w:right w:val="single" w:sz="4" w:space="4" w:color="auto"/>
        </w:pBdr>
      </w:pPr>
      <w:r>
        <w:t xml:space="preserve">4: </w:t>
      </w:r>
      <w:r>
        <w:tab/>
        <w:t>For achieving the aim of agreement 3, RAN2 targets a single solution</w:t>
      </w:r>
    </w:p>
    <w:p w:rsidR="00D1681F" w:rsidRDefault="00D1681F" w:rsidP="00D1681F">
      <w:pPr>
        <w:pStyle w:val="Doc-text2"/>
        <w:pBdr>
          <w:top w:val="single" w:sz="4" w:space="1" w:color="auto"/>
          <w:left w:val="single" w:sz="4" w:space="4" w:color="auto"/>
          <w:bottom w:val="single" w:sz="4" w:space="1" w:color="auto"/>
          <w:right w:val="single" w:sz="4" w:space="4" w:color="auto"/>
        </w:pBdr>
      </w:pPr>
      <w:r w:rsidRPr="00D1681F">
        <w:t xml:space="preserve">5: </w:t>
      </w:r>
      <w:r w:rsidRPr="00D1681F">
        <w:tab/>
        <w:t>Interruption time reduction in DL to be prioritized, but UL will still be considered</w:t>
      </w:r>
    </w:p>
    <w:p w:rsidR="00D1681F" w:rsidRDefault="00D1681F">
      <w:pPr>
        <w:rPr>
          <w:rFonts w:eastAsia="宋体"/>
        </w:rPr>
      </w:pPr>
    </w:p>
    <w:p w:rsidR="0011647D" w:rsidRPr="000C3C1B" w:rsidRDefault="0011647D" w:rsidP="0011647D">
      <w:pPr>
        <w:pStyle w:val="Doc-text2"/>
      </w:pPr>
    </w:p>
    <w:p w:rsidR="0011647D" w:rsidRPr="000C3C1B" w:rsidRDefault="0011647D" w:rsidP="0011647D">
      <w:pPr>
        <w:pStyle w:val="Doc-text2"/>
        <w:pBdr>
          <w:top w:val="single" w:sz="4" w:space="1" w:color="auto"/>
          <w:left w:val="single" w:sz="4" w:space="4" w:color="auto"/>
          <w:bottom w:val="single" w:sz="4" w:space="1" w:color="auto"/>
          <w:right w:val="single" w:sz="4" w:space="4" w:color="auto"/>
        </w:pBdr>
      </w:pPr>
      <w:r w:rsidRPr="000C3C1B">
        <w:t>Agreements</w:t>
      </w:r>
    </w:p>
    <w:p w:rsidR="0011647D" w:rsidRPr="000C3C1B" w:rsidRDefault="0011647D" w:rsidP="0011647D">
      <w:pPr>
        <w:pStyle w:val="Doc-text2"/>
        <w:pBdr>
          <w:top w:val="single" w:sz="4" w:space="1" w:color="auto"/>
          <w:left w:val="single" w:sz="4" w:space="4" w:color="auto"/>
          <w:bottom w:val="single" w:sz="4" w:space="1" w:color="auto"/>
          <w:right w:val="single" w:sz="4" w:space="4" w:color="auto"/>
        </w:pBdr>
      </w:pPr>
      <w:r w:rsidRPr="000C3C1B">
        <w:t>1</w:t>
      </w:r>
      <w:r w:rsidRPr="000C3C1B">
        <w:tab/>
      </w:r>
      <w:r w:rsidRPr="0011647D">
        <w:t>PDCP packet duplication does not need to be supported in combination with the HO interruption solution (but doesn't preclude that it might be possible to support it and it may be beneficial in some cases)</w:t>
      </w:r>
    </w:p>
    <w:p w:rsidR="0011647D" w:rsidRPr="000C3C1B" w:rsidRDefault="0011647D" w:rsidP="0011647D">
      <w:pPr>
        <w:pStyle w:val="Doc-text2"/>
        <w:pBdr>
          <w:top w:val="single" w:sz="4" w:space="1" w:color="auto"/>
          <w:left w:val="single" w:sz="4" w:space="4" w:color="auto"/>
          <w:bottom w:val="single" w:sz="4" w:space="1" w:color="auto"/>
          <w:right w:val="single" w:sz="4" w:space="4" w:color="auto"/>
        </w:pBdr>
      </w:pPr>
      <w:r w:rsidRPr="000C3C1B">
        <w:t>2</w:t>
      </w:r>
      <w:r w:rsidRPr="000C3C1B">
        <w:tab/>
        <w:t xml:space="preserve">Simultaneous UL PUSCH transmission does not need to be supported for the HO interruption solution. </w:t>
      </w:r>
      <w:r w:rsidRPr="000C3C1B">
        <w:tab/>
      </w:r>
    </w:p>
    <w:p w:rsidR="0011647D" w:rsidRPr="000C3C1B" w:rsidRDefault="0011647D" w:rsidP="0011647D">
      <w:pPr>
        <w:pStyle w:val="Doc-text2"/>
        <w:pBdr>
          <w:top w:val="single" w:sz="4" w:space="1" w:color="auto"/>
          <w:left w:val="single" w:sz="4" w:space="4" w:color="auto"/>
          <w:bottom w:val="single" w:sz="4" w:space="1" w:color="auto"/>
          <w:right w:val="single" w:sz="4" w:space="4" w:color="auto"/>
        </w:pBdr>
      </w:pPr>
      <w:r w:rsidRPr="000C3C1B">
        <w:t>3</w:t>
      </w:r>
      <w:r w:rsidRPr="000C3C1B">
        <w:tab/>
        <w:t>There is a point in time where the UL PUSCH switches from source to target.</w:t>
      </w:r>
    </w:p>
    <w:p w:rsidR="0011647D" w:rsidRPr="000C3C1B" w:rsidRDefault="0011647D" w:rsidP="0011647D">
      <w:pPr>
        <w:pStyle w:val="Doc-text2"/>
      </w:pPr>
    </w:p>
    <w:p w:rsidR="00156C4C" w:rsidRDefault="00DF7FA9">
      <w:pPr>
        <w:rPr>
          <w:rFonts w:eastAsia="宋体"/>
        </w:rPr>
      </w:pPr>
      <w:r>
        <w:rPr>
          <w:rFonts w:eastAsia="宋体"/>
        </w:rPr>
        <w:t xml:space="preserve">This </w:t>
      </w:r>
      <w:r w:rsidR="002056EB">
        <w:rPr>
          <w:rFonts w:eastAsia="宋体"/>
        </w:rPr>
        <w:t>contribution</w:t>
      </w:r>
      <w:r>
        <w:rPr>
          <w:rFonts w:eastAsia="宋体"/>
        </w:rPr>
        <w:t xml:space="preserve"> aims to provide a full picture of</w:t>
      </w:r>
      <w:r w:rsidR="002056EB">
        <w:rPr>
          <w:rFonts w:eastAsia="宋体"/>
        </w:rPr>
        <w:t xml:space="preserve"> comparison between </w:t>
      </w:r>
      <w:r w:rsidR="00D1681F">
        <w:rPr>
          <w:rFonts w:eastAsia="宋体"/>
        </w:rPr>
        <w:t xml:space="preserve">non DC-based </w:t>
      </w:r>
      <w:r w:rsidR="002056EB">
        <w:rPr>
          <w:rFonts w:eastAsia="宋体"/>
        </w:rPr>
        <w:t xml:space="preserve">HO and DC-based HO, which can help to provide </w:t>
      </w:r>
      <w:r w:rsidR="00D1681F">
        <w:rPr>
          <w:rFonts w:eastAsia="宋体"/>
        </w:rPr>
        <w:t>the final decision on the down-selection from</w:t>
      </w:r>
      <w:r w:rsidR="002056EB">
        <w:rPr>
          <w:rFonts w:eastAsia="宋体"/>
        </w:rPr>
        <w:t xml:space="preserve"> these two solutions.</w:t>
      </w:r>
    </w:p>
    <w:p w:rsidR="00156C4C" w:rsidRDefault="002056EB">
      <w:pPr>
        <w:pStyle w:val="1"/>
        <w:rPr>
          <w:rFonts w:ascii="Times New Roman" w:eastAsia="Malgun Gothic" w:hAnsi="Times New Roman" w:cs="Times New Roman"/>
          <w:sz w:val="32"/>
          <w:szCs w:val="32"/>
        </w:rPr>
      </w:pPr>
      <w:r>
        <w:rPr>
          <w:rFonts w:ascii="Times New Roman" w:eastAsia="Malgun Gothic" w:hAnsi="Times New Roman" w:cs="Times New Roman"/>
          <w:sz w:val="32"/>
          <w:szCs w:val="32"/>
        </w:rPr>
        <w:lastRenderedPageBreak/>
        <w:t>Discussion</w:t>
      </w:r>
    </w:p>
    <w:p w:rsidR="00156C4C" w:rsidRDefault="002056EB">
      <w:pPr>
        <w:pStyle w:val="2"/>
        <w:rPr>
          <w:rFonts w:eastAsia="宋体" w:cs="Times New Roman"/>
          <w:sz w:val="20"/>
          <w:szCs w:val="20"/>
        </w:rPr>
      </w:pPr>
      <w:r>
        <w:rPr>
          <w:rFonts w:eastAsia="宋体"/>
        </w:rPr>
        <w:t>Potential solutions</w:t>
      </w:r>
    </w:p>
    <w:p w:rsidR="00156C4C" w:rsidRDefault="002056EB">
      <w:pPr>
        <w:rPr>
          <w:rFonts w:eastAsia="宋体"/>
        </w:rPr>
      </w:pPr>
      <w:r>
        <w:rPr>
          <w:rFonts w:eastAsia="宋体"/>
        </w:rPr>
        <w:t>As indicated above, the follows are three potential candidates for implementing 0ms interruption time:</w:t>
      </w:r>
    </w:p>
    <w:p w:rsidR="00156C4C" w:rsidRDefault="002056EB">
      <w:pPr>
        <w:numPr>
          <w:ilvl w:val="0"/>
          <w:numId w:val="12"/>
        </w:numPr>
        <w:rPr>
          <w:sz w:val="18"/>
          <w:lang w:eastAsia="ja-JP"/>
        </w:rPr>
      </w:pPr>
      <w:r>
        <w:rPr>
          <w:sz w:val="18"/>
          <w:lang w:eastAsia="ja-JP"/>
        </w:rPr>
        <w:t xml:space="preserve">Handover/SCG change with simultaneous connectivity with source cell and target cell. </w:t>
      </w:r>
    </w:p>
    <w:p w:rsidR="00156C4C" w:rsidRDefault="002056EB">
      <w:pPr>
        <w:numPr>
          <w:ilvl w:val="0"/>
          <w:numId w:val="12"/>
        </w:numPr>
        <w:rPr>
          <w:sz w:val="18"/>
          <w:lang w:eastAsia="ja-JP"/>
        </w:rPr>
      </w:pPr>
      <w:r>
        <w:rPr>
          <w:sz w:val="18"/>
          <w:lang w:eastAsia="ja-JP"/>
        </w:rPr>
        <w:t xml:space="preserve">Make-before-break </w:t>
      </w:r>
    </w:p>
    <w:p w:rsidR="00156C4C" w:rsidRDefault="002056EB">
      <w:pPr>
        <w:spacing w:line="360" w:lineRule="auto"/>
        <w:rPr>
          <w:rFonts w:eastAsia="宋体"/>
        </w:rPr>
      </w:pPr>
      <w:r>
        <w:rPr>
          <w:rFonts w:eastAsia="宋体"/>
        </w:rPr>
        <w:t>In the following sections, about the potential solutions of DC-based HO</w:t>
      </w:r>
      <w:r w:rsidR="00CD1CC9">
        <w:rPr>
          <w:rFonts w:eastAsia="宋体"/>
        </w:rPr>
        <w:t xml:space="preserve"> and non-DC based (MBB)</w:t>
      </w:r>
      <w:r>
        <w:rPr>
          <w:rFonts w:eastAsia="宋体"/>
        </w:rPr>
        <w:t xml:space="preserve"> HO will be elaborated for the target of 0 </w:t>
      </w:r>
      <w:proofErr w:type="spellStart"/>
      <w:r>
        <w:rPr>
          <w:rFonts w:eastAsia="宋体"/>
        </w:rPr>
        <w:t>ms</w:t>
      </w:r>
      <w:proofErr w:type="spellEnd"/>
      <w:r>
        <w:rPr>
          <w:rFonts w:eastAsia="宋体"/>
        </w:rPr>
        <w:t xml:space="preserve"> UP interruption. </w:t>
      </w:r>
    </w:p>
    <w:p w:rsidR="00156C4C" w:rsidRDefault="000E2295" w:rsidP="002A472F">
      <w:pPr>
        <w:pStyle w:val="3"/>
        <w:tabs>
          <w:tab w:val="clear" w:pos="720"/>
          <w:tab w:val="left" w:pos="576"/>
        </w:tabs>
        <w:rPr>
          <w:rFonts w:eastAsia="宋体"/>
          <w:sz w:val="20"/>
          <w:szCs w:val="20"/>
        </w:rPr>
      </w:pPr>
      <w:r>
        <w:rPr>
          <w:rFonts w:eastAsia="宋体"/>
          <w:sz w:val="20"/>
          <w:szCs w:val="20"/>
        </w:rPr>
        <w:t xml:space="preserve">Control plan </w:t>
      </w:r>
    </w:p>
    <w:p w:rsidR="00156C4C" w:rsidRDefault="00D14DD7">
      <w:pPr>
        <w:rPr>
          <w:b/>
          <w:u w:val="single"/>
        </w:rPr>
      </w:pPr>
      <w:r>
        <w:rPr>
          <w:b/>
          <w:u w:val="single"/>
        </w:rPr>
        <w:t xml:space="preserve">Additional signaling </w:t>
      </w:r>
      <w:r w:rsidR="002056EB" w:rsidRPr="00E37EAC">
        <w:rPr>
          <w:b/>
          <w:u w:val="single"/>
        </w:rPr>
        <w:t xml:space="preserve">for </w:t>
      </w:r>
      <w:proofErr w:type="spellStart"/>
      <w:r w:rsidR="002056EB" w:rsidRPr="00E37EAC">
        <w:rPr>
          <w:b/>
          <w:u w:val="single"/>
        </w:rPr>
        <w:t>PCell</w:t>
      </w:r>
      <w:proofErr w:type="spellEnd"/>
      <w:r w:rsidR="002056EB" w:rsidRPr="00E37EAC">
        <w:rPr>
          <w:b/>
          <w:u w:val="single"/>
        </w:rPr>
        <w:t xml:space="preserve"> change</w:t>
      </w:r>
      <w:r w:rsidR="000E2295" w:rsidRPr="00E37EAC">
        <w:rPr>
          <w:b/>
          <w:u w:val="single"/>
        </w:rPr>
        <w:t xml:space="preserve"> for DC solution</w:t>
      </w:r>
    </w:p>
    <w:p w:rsidR="00156C4C" w:rsidRDefault="002056EB">
      <w:pPr>
        <w:rPr>
          <w:rFonts w:eastAsia="宋体"/>
        </w:rPr>
      </w:pPr>
      <w:r>
        <w:rPr>
          <w:rFonts w:eastAsia="宋体"/>
        </w:rPr>
        <w:t xml:space="preserve">In LTE, if </w:t>
      </w:r>
      <w:proofErr w:type="spellStart"/>
      <w:r>
        <w:rPr>
          <w:rFonts w:eastAsia="宋体"/>
        </w:rPr>
        <w:t>PCell</w:t>
      </w:r>
      <w:proofErr w:type="spellEnd"/>
      <w:r>
        <w:rPr>
          <w:rFonts w:eastAsia="宋体"/>
        </w:rPr>
        <w:t xml:space="preserve"> needs to be changed, a handover procedure should be executed with RACH procedure and L2 reset which will cause interruption. In NR, to avoid interruption, enhancements for </w:t>
      </w:r>
      <w:proofErr w:type="spellStart"/>
      <w:r>
        <w:rPr>
          <w:rFonts w:eastAsia="宋体"/>
        </w:rPr>
        <w:t>PCell</w:t>
      </w:r>
      <w:proofErr w:type="spellEnd"/>
      <w:r>
        <w:rPr>
          <w:rFonts w:eastAsia="宋体"/>
        </w:rPr>
        <w:t xml:space="preserve"> change should be considered, during role change between M-</w:t>
      </w:r>
      <w:proofErr w:type="spellStart"/>
      <w:r>
        <w:rPr>
          <w:rFonts w:eastAsia="宋体"/>
        </w:rPr>
        <w:t>gNB</w:t>
      </w:r>
      <w:proofErr w:type="spellEnd"/>
      <w:r>
        <w:rPr>
          <w:rFonts w:eastAsia="宋体"/>
        </w:rPr>
        <w:t xml:space="preserve"> and S-</w:t>
      </w:r>
      <w:proofErr w:type="spellStart"/>
      <w:r>
        <w:rPr>
          <w:rFonts w:eastAsia="宋体"/>
        </w:rPr>
        <w:t>gNB</w:t>
      </w:r>
      <w:proofErr w:type="spellEnd"/>
      <w:r>
        <w:rPr>
          <w:rFonts w:eastAsia="宋体"/>
        </w:rPr>
        <w:t xml:space="preserve">. Actually, if </w:t>
      </w:r>
      <w:proofErr w:type="spellStart"/>
      <w:r>
        <w:rPr>
          <w:rFonts w:eastAsia="宋体"/>
        </w:rPr>
        <w:t>SgNB</w:t>
      </w:r>
      <w:proofErr w:type="spellEnd"/>
      <w:r>
        <w:rPr>
          <w:rFonts w:eastAsia="宋体"/>
        </w:rPr>
        <w:t xml:space="preserve"> is changed to be </w:t>
      </w:r>
      <w:proofErr w:type="spellStart"/>
      <w:r>
        <w:rPr>
          <w:rFonts w:eastAsia="宋体"/>
        </w:rPr>
        <w:t>MgNB</w:t>
      </w:r>
      <w:proofErr w:type="spellEnd"/>
      <w:r>
        <w:rPr>
          <w:rFonts w:eastAsia="宋体"/>
        </w:rPr>
        <w:t xml:space="preserve">, there is no need for the UE to perform RACH as it has already synchronized with the new </w:t>
      </w:r>
      <w:proofErr w:type="spellStart"/>
      <w:r>
        <w:rPr>
          <w:rFonts w:eastAsia="宋体"/>
        </w:rPr>
        <w:t>MgNB</w:t>
      </w:r>
      <w:proofErr w:type="spellEnd"/>
      <w:r>
        <w:rPr>
          <w:rFonts w:eastAsia="宋体"/>
        </w:rPr>
        <w:t xml:space="preserve"> when it worked as the </w:t>
      </w:r>
      <w:proofErr w:type="spellStart"/>
      <w:r>
        <w:rPr>
          <w:rFonts w:eastAsia="宋体"/>
        </w:rPr>
        <w:t>SgNB</w:t>
      </w:r>
      <w:proofErr w:type="spellEnd"/>
      <w:r>
        <w:rPr>
          <w:rFonts w:eastAsia="宋体"/>
        </w:rPr>
        <w:t>. Furthermore, L2 reset/re-establishment is not required for the UE. As the cells in M-</w:t>
      </w:r>
      <w:proofErr w:type="spellStart"/>
      <w:r>
        <w:rPr>
          <w:rFonts w:eastAsia="宋体"/>
        </w:rPr>
        <w:t>gNB</w:t>
      </w:r>
      <w:proofErr w:type="spellEnd"/>
      <w:r>
        <w:rPr>
          <w:rFonts w:eastAsia="宋体"/>
        </w:rPr>
        <w:t xml:space="preserve"> and S-</w:t>
      </w:r>
      <w:proofErr w:type="spellStart"/>
      <w:r>
        <w:rPr>
          <w:rFonts w:eastAsia="宋体"/>
        </w:rPr>
        <w:t>gNB</w:t>
      </w:r>
      <w:proofErr w:type="spellEnd"/>
      <w:r>
        <w:rPr>
          <w:rFonts w:eastAsia="宋体"/>
        </w:rPr>
        <w:t xml:space="preserve"> are activated in parallel, data transmission can continue and no interruption occurs during role change. </w:t>
      </w:r>
    </w:p>
    <w:p w:rsidR="00D14DD7" w:rsidRDefault="00D14DD7" w:rsidP="00D14DD7">
      <w:pPr>
        <w:rPr>
          <w:b/>
          <w:u w:val="single"/>
        </w:rPr>
      </w:pPr>
      <w:r>
        <w:rPr>
          <w:b/>
          <w:u w:val="single"/>
        </w:rPr>
        <w:t xml:space="preserve">Additional signaling </w:t>
      </w:r>
      <w:r w:rsidRPr="00E37EAC">
        <w:rPr>
          <w:b/>
          <w:u w:val="single"/>
        </w:rPr>
        <w:t xml:space="preserve">for </w:t>
      </w:r>
      <w:r>
        <w:rPr>
          <w:b/>
          <w:u w:val="single"/>
        </w:rPr>
        <w:t>non-</w:t>
      </w:r>
      <w:r w:rsidRPr="00E37EAC">
        <w:rPr>
          <w:b/>
          <w:u w:val="single"/>
        </w:rPr>
        <w:t>DC solution</w:t>
      </w:r>
    </w:p>
    <w:p w:rsidR="00D14DD7" w:rsidRDefault="00D14DD7">
      <w:pPr>
        <w:rPr>
          <w:rFonts w:eastAsia="宋体"/>
        </w:rPr>
      </w:pPr>
      <w:r>
        <w:rPr>
          <w:rFonts w:eastAsia="宋体"/>
        </w:rPr>
        <w:t xml:space="preserve">In addition to the </w:t>
      </w:r>
      <w:r w:rsidRPr="00D14DD7">
        <w:rPr>
          <w:rFonts w:eastAsia="宋体"/>
        </w:rPr>
        <w:t>traditional HO signaling</w:t>
      </w:r>
      <w:r>
        <w:rPr>
          <w:rFonts w:eastAsia="宋体"/>
        </w:rPr>
        <w:t xml:space="preserve">, an indication to indicate </w:t>
      </w:r>
      <w:r w:rsidRPr="00D14DD7">
        <w:rPr>
          <w:rFonts w:eastAsia="宋体"/>
        </w:rPr>
        <w:t>the make-before-break-HO in RRC Reconfiguration message</w:t>
      </w:r>
      <w:r>
        <w:rPr>
          <w:rFonts w:eastAsia="宋体"/>
        </w:rPr>
        <w:t xml:space="preserve"> in required.</w:t>
      </w:r>
    </w:p>
    <w:p w:rsidR="00D14DD7" w:rsidRDefault="00D14DD7">
      <w:pPr>
        <w:rPr>
          <w:rFonts w:eastAsia="宋体"/>
        </w:rPr>
      </w:pPr>
    </w:p>
    <w:p w:rsidR="000E2295" w:rsidRDefault="000E2295" w:rsidP="000E2295">
      <w:pPr>
        <w:rPr>
          <w:b/>
          <w:u w:val="single"/>
        </w:rPr>
      </w:pPr>
      <w:r>
        <w:rPr>
          <w:b/>
          <w:u w:val="single"/>
        </w:rPr>
        <w:t xml:space="preserve">Possible interruption due to RLM in source </w:t>
      </w:r>
      <w:proofErr w:type="spellStart"/>
      <w:r>
        <w:rPr>
          <w:b/>
          <w:u w:val="single"/>
        </w:rPr>
        <w:t>gNB</w:t>
      </w:r>
      <w:proofErr w:type="spellEnd"/>
      <w:r>
        <w:rPr>
          <w:b/>
          <w:u w:val="single"/>
        </w:rPr>
        <w:t xml:space="preserve"> for non-DC solution</w:t>
      </w:r>
    </w:p>
    <w:p w:rsidR="000E2295" w:rsidRDefault="000E2295" w:rsidP="000E2295">
      <w:pPr>
        <w:rPr>
          <w:rFonts w:eastAsia="宋体"/>
          <w:bCs/>
        </w:rPr>
      </w:pPr>
      <w:r>
        <w:t xml:space="preserve">If the radio link quality becomes bad before the target </w:t>
      </w:r>
      <w:proofErr w:type="spellStart"/>
      <w:r>
        <w:t>gNB</w:t>
      </w:r>
      <w:proofErr w:type="spellEnd"/>
      <w:r>
        <w:t xml:space="preserve"> is ready, this would force the UE to declare RLF since that would trigger RRC Connection Re-establishment, which leads the UP interruption. Hence, RLM for the source </w:t>
      </w:r>
      <w:proofErr w:type="spellStart"/>
      <w:r>
        <w:t>gNB</w:t>
      </w:r>
      <w:proofErr w:type="spellEnd"/>
      <w:r>
        <w:t xml:space="preserve"> needs to be suspended until the end of handover. Impact on uplink transmission should be evaluated if the UE still sends uplink signal in bad radio link quality due to suspension of RLM. And to address this issue, more than one </w:t>
      </w:r>
      <w:r>
        <w:rPr>
          <w:rFonts w:eastAsia="宋体"/>
          <w:bCs/>
        </w:rPr>
        <w:t>level thresholds for handover may be setting.</w:t>
      </w:r>
    </w:p>
    <w:p w:rsidR="00156C4C" w:rsidRDefault="00156C4C"/>
    <w:p w:rsidR="005F2010" w:rsidRDefault="00E37EAC" w:rsidP="005F2010">
      <w:pPr>
        <w:pStyle w:val="3"/>
        <w:tabs>
          <w:tab w:val="clear" w:pos="720"/>
          <w:tab w:val="left" w:pos="576"/>
        </w:tabs>
        <w:rPr>
          <w:rFonts w:eastAsia="宋体"/>
          <w:sz w:val="20"/>
          <w:szCs w:val="20"/>
        </w:rPr>
      </w:pPr>
      <w:r>
        <w:rPr>
          <w:rFonts w:eastAsia="宋体"/>
          <w:sz w:val="20"/>
          <w:szCs w:val="20"/>
        </w:rPr>
        <w:t>User plan</w:t>
      </w:r>
    </w:p>
    <w:p w:rsidR="00E37EAC" w:rsidRDefault="00E37EAC" w:rsidP="00E37EAC">
      <w:pPr>
        <w:rPr>
          <w:b/>
          <w:u w:val="single"/>
        </w:rPr>
      </w:pPr>
      <w:r>
        <w:rPr>
          <w:b/>
          <w:u w:val="single"/>
        </w:rPr>
        <w:t xml:space="preserve">PDCP relocation </w:t>
      </w:r>
      <w:r w:rsidRPr="001B70F9">
        <w:rPr>
          <w:b/>
          <w:u w:val="single"/>
        </w:rPr>
        <w:t>for DC solution</w:t>
      </w:r>
    </w:p>
    <w:p w:rsidR="00E37EAC" w:rsidRDefault="00E37EAC" w:rsidP="00E37EAC">
      <w:pPr>
        <w:spacing w:before="120"/>
      </w:pPr>
      <w:r>
        <w:t xml:space="preserve">When UE moves from source cell to target cell, PDCP is relocated, accompanied with path switch procedure towards CN. Then the UE anchor is changed from source </w:t>
      </w:r>
      <w:proofErr w:type="spellStart"/>
      <w:r>
        <w:t>gNB</w:t>
      </w:r>
      <w:proofErr w:type="spellEnd"/>
      <w:r>
        <w:t xml:space="preserve"> to target </w:t>
      </w:r>
      <w:proofErr w:type="spellStart"/>
      <w:r>
        <w:t>gNB</w:t>
      </w:r>
      <w:proofErr w:type="spellEnd"/>
      <w:r>
        <w:t xml:space="preserve">. </w:t>
      </w:r>
    </w:p>
    <w:p w:rsidR="00E37EAC" w:rsidRDefault="00E37EAC" w:rsidP="00E37EAC">
      <w:pPr>
        <w:spacing w:before="120"/>
      </w:pPr>
      <w:r>
        <w:t xml:space="preserve">In order to support lossless handover, PDCP SN continues during HO when PDCP is relocated. The SN Status Transfer procedure and data forwarding is sent following </w:t>
      </w:r>
      <w:r>
        <w:rPr>
          <w:i/>
        </w:rPr>
        <w:t>RRC Connection Reconfiguration</w:t>
      </w:r>
      <w:r>
        <w:t xml:space="preserve"> message. UE accessing to target cell and data forwarding can be performed in parallel. Generally, the SN STATUS TRANSFER message can only be generated after the source </w:t>
      </w:r>
      <w:proofErr w:type="spellStart"/>
      <w:r>
        <w:t>gNB</w:t>
      </w:r>
      <w:proofErr w:type="spellEnd"/>
      <w:r>
        <w:t xml:space="preserve"> stopping the data transmission. If simultaneous </w:t>
      </w:r>
      <w:proofErr w:type="spellStart"/>
      <w:r>
        <w:t>Tx</w:t>
      </w:r>
      <w:proofErr w:type="spellEnd"/>
      <w:r>
        <w:t xml:space="preserve">/Rx operation with source </w:t>
      </w:r>
      <w:proofErr w:type="spellStart"/>
      <w:r>
        <w:t>gNB</w:t>
      </w:r>
      <w:proofErr w:type="spellEnd"/>
      <w:r>
        <w:t xml:space="preserve"> and target </w:t>
      </w:r>
      <w:proofErr w:type="spellStart"/>
      <w:r>
        <w:t>gNB</w:t>
      </w:r>
      <w:proofErr w:type="spellEnd"/>
      <w:r>
        <w:t xml:space="preserve"> is supported, how to perform SN status transfer and data forwarding at the source </w:t>
      </w:r>
      <w:proofErr w:type="spellStart"/>
      <w:r>
        <w:t>gNB</w:t>
      </w:r>
      <w:proofErr w:type="spellEnd"/>
      <w:r>
        <w:t xml:space="preserve">, which simultaneously performs data transmission with UE, should be considered. </w:t>
      </w:r>
    </w:p>
    <w:p w:rsidR="00E37EAC" w:rsidRDefault="00E37EAC" w:rsidP="00E37EAC">
      <w:r>
        <w:t xml:space="preserve">One baseline behavior to perform PDCP relocation through split bearer to MCG bearer change. Similar as current HO procedure, UP protocol is reset including PDCP re-establishment, RLC reestablishment and MAC reset. Although the interruption due to UP protocol reset is several microseconds and negligible, 0ms interruption can’t be achieved with this baseline behavior. The security key for target </w:t>
      </w:r>
      <w:proofErr w:type="spellStart"/>
      <w:r>
        <w:t>gNB</w:t>
      </w:r>
      <w:proofErr w:type="spellEnd"/>
      <w:r>
        <w:t xml:space="preserve"> can be used after UP reset. To address this, some enhancements are needed, for example, to perform PDCP relocation without UP protocol stack reset at the UE side. And one problem with this solution is that UE doesn’t know when to apply the new security key for the target </w:t>
      </w:r>
      <w:proofErr w:type="spellStart"/>
      <w:r>
        <w:t>gNB</w:t>
      </w:r>
      <w:proofErr w:type="spellEnd"/>
      <w:r>
        <w:t xml:space="preserve">. One potential solution is that a time duration or the number of PDCP PDUs applying the old key corresponding to the source </w:t>
      </w:r>
      <w:proofErr w:type="spellStart"/>
      <w:r>
        <w:t>gNB</w:t>
      </w:r>
      <w:proofErr w:type="spellEnd"/>
      <w:r>
        <w:t xml:space="preserve"> is pre-defined or informed to UE. UE complexity to avoid UP protocol reset is concerned and needs further evaluation. </w:t>
      </w:r>
    </w:p>
    <w:p w:rsidR="00156C4C" w:rsidRDefault="002056EB">
      <w:r>
        <w:lastRenderedPageBreak/>
        <w:t xml:space="preserve">This requires that the UE monitor both source and target links simultaneously. To continue the data transmission with the source </w:t>
      </w:r>
      <w:proofErr w:type="spellStart"/>
      <w:r>
        <w:t>gNB</w:t>
      </w:r>
      <w:proofErr w:type="spellEnd"/>
      <w:r>
        <w:t xml:space="preserve">, the difference from current HO is that the UE should continue sending CSI and HARQ feedback to the source </w:t>
      </w:r>
      <w:proofErr w:type="spellStart"/>
      <w:r>
        <w:t>gNB</w:t>
      </w:r>
      <w:proofErr w:type="spellEnd"/>
      <w:r>
        <w:t xml:space="preserve">. </w:t>
      </w:r>
    </w:p>
    <w:p w:rsidR="00156C4C" w:rsidRDefault="002056EB">
      <w:pPr>
        <w:rPr>
          <w:b/>
          <w:u w:val="single"/>
        </w:rPr>
      </w:pPr>
      <w:r>
        <w:rPr>
          <w:rFonts w:eastAsia="Malgun Gothic"/>
          <w:b/>
          <w:u w:val="single"/>
        </w:rPr>
        <w:t>Intra-PDCP function split in MBB mechanism</w:t>
      </w:r>
    </w:p>
    <w:p w:rsidR="00156C4C" w:rsidRDefault="002056EB">
      <w:pPr>
        <w:rPr>
          <w:rFonts w:eastAsia="宋体" w:cs="Arial"/>
        </w:rPr>
      </w:pPr>
      <w:r>
        <w:rPr>
          <w:rFonts w:eastAsia="宋体"/>
        </w:rPr>
        <w:t xml:space="preserve">For </w:t>
      </w:r>
      <w:proofErr w:type="spellStart"/>
      <w:r>
        <w:rPr>
          <w:rFonts w:eastAsia="宋体"/>
        </w:rPr>
        <w:t>eMBB</w:t>
      </w:r>
      <w:proofErr w:type="spellEnd"/>
      <w:r>
        <w:rPr>
          <w:rFonts w:eastAsia="宋体"/>
        </w:rPr>
        <w:t xml:space="preserve">, the UE establishes and maintains an independent protocol stack for the target </w:t>
      </w:r>
      <w:proofErr w:type="spellStart"/>
      <w:r>
        <w:rPr>
          <w:rFonts w:eastAsia="宋体"/>
        </w:rPr>
        <w:t>gNB</w:t>
      </w:r>
      <w:proofErr w:type="spellEnd"/>
      <w:r>
        <w:rPr>
          <w:rFonts w:eastAsia="宋体"/>
        </w:rPr>
        <w:t xml:space="preserve"> including PDCP entity, which is more like DC 3B proposed in DC SID phase. Since the UE has established the independent PDCP for the target </w:t>
      </w:r>
      <w:proofErr w:type="spellStart"/>
      <w:r>
        <w:rPr>
          <w:rFonts w:eastAsia="宋体"/>
        </w:rPr>
        <w:t>gNB</w:t>
      </w:r>
      <w:proofErr w:type="spellEnd"/>
      <w:r>
        <w:rPr>
          <w:rFonts w:eastAsia="宋体"/>
        </w:rPr>
        <w:t xml:space="preserve">, before the PDCP is relocated from the source to the target </w:t>
      </w:r>
      <w:proofErr w:type="spellStart"/>
      <w:r>
        <w:rPr>
          <w:rFonts w:eastAsia="宋体"/>
        </w:rPr>
        <w:t>gNB</w:t>
      </w:r>
      <w:proofErr w:type="spellEnd"/>
      <w:r>
        <w:rPr>
          <w:rFonts w:eastAsia="宋体"/>
        </w:rPr>
        <w:t xml:space="preserve">, PDCP SDUs with SN assigned by the source </w:t>
      </w:r>
      <w:proofErr w:type="spellStart"/>
      <w:r>
        <w:rPr>
          <w:rFonts w:eastAsia="宋体"/>
        </w:rPr>
        <w:t>gNB</w:t>
      </w:r>
      <w:proofErr w:type="spellEnd"/>
      <w:r>
        <w:rPr>
          <w:rFonts w:eastAsia="宋体"/>
        </w:rPr>
        <w:t xml:space="preserve"> can be forwarded by the source </w:t>
      </w:r>
      <w:proofErr w:type="spellStart"/>
      <w:r>
        <w:rPr>
          <w:rFonts w:eastAsia="宋体"/>
        </w:rPr>
        <w:t>gNB</w:t>
      </w:r>
      <w:proofErr w:type="spellEnd"/>
      <w:r>
        <w:rPr>
          <w:rFonts w:eastAsia="宋体"/>
        </w:rPr>
        <w:t xml:space="preserve"> to the target </w:t>
      </w:r>
      <w:proofErr w:type="spellStart"/>
      <w:r>
        <w:rPr>
          <w:rFonts w:eastAsia="宋体"/>
        </w:rPr>
        <w:t>gNB</w:t>
      </w:r>
      <w:proofErr w:type="spellEnd"/>
      <w:r>
        <w:rPr>
          <w:rFonts w:eastAsia="宋体"/>
        </w:rPr>
        <w:t xml:space="preserve">, then the target </w:t>
      </w:r>
      <w:proofErr w:type="spellStart"/>
      <w:r>
        <w:rPr>
          <w:rFonts w:eastAsia="宋体"/>
        </w:rPr>
        <w:t>gNB</w:t>
      </w:r>
      <w:proofErr w:type="spellEnd"/>
      <w:r>
        <w:rPr>
          <w:rFonts w:eastAsia="宋体"/>
        </w:rPr>
        <w:t xml:space="preserve"> ciphers the PDCP SDUs by its PDCP layer. To address the security issue, the UE shall maintain two keys simultaneously during HO procedure, one for the source </w:t>
      </w:r>
      <w:proofErr w:type="spellStart"/>
      <w:r>
        <w:rPr>
          <w:rFonts w:eastAsia="宋体"/>
        </w:rPr>
        <w:t>gNB</w:t>
      </w:r>
      <w:proofErr w:type="spellEnd"/>
      <w:r>
        <w:rPr>
          <w:rFonts w:eastAsia="宋体"/>
        </w:rPr>
        <w:t xml:space="preserve"> and the other for the target </w:t>
      </w:r>
      <w:proofErr w:type="spellStart"/>
      <w:r>
        <w:rPr>
          <w:rFonts w:eastAsia="宋体"/>
        </w:rPr>
        <w:t>gNB</w:t>
      </w:r>
      <w:proofErr w:type="spellEnd"/>
      <w:r>
        <w:rPr>
          <w:rFonts w:eastAsia="宋体"/>
        </w:rPr>
        <w:t xml:space="preserve">, and it can use the corresponding key for deciphering based on which cell the PDCP packet is from. At the same time, </w:t>
      </w:r>
      <w:proofErr w:type="spellStart"/>
      <w:r>
        <w:rPr>
          <w:rFonts w:eastAsia="宋体"/>
        </w:rPr>
        <w:t>eMBB</w:t>
      </w:r>
      <w:proofErr w:type="spellEnd"/>
      <w:r>
        <w:rPr>
          <w:rFonts w:eastAsia="宋体"/>
        </w:rPr>
        <w:t xml:space="preserve"> needs to conduct intra-PDCP function split which increases the complexity. </w:t>
      </w:r>
      <w:r>
        <w:rPr>
          <w:color w:val="000000"/>
          <w:lang w:eastAsia="en-US"/>
        </w:rPr>
        <w:t xml:space="preserve">Based on above discussion, it can be observed that: </w:t>
      </w:r>
    </w:p>
    <w:p w:rsidR="00156C4C" w:rsidRDefault="002056EB">
      <w:pPr>
        <w:pStyle w:val="B1"/>
        <w:ind w:left="0" w:firstLine="0"/>
        <w:rPr>
          <w:rFonts w:cs="Arial"/>
          <w:b/>
        </w:rPr>
      </w:pPr>
      <w:r>
        <w:rPr>
          <w:rFonts w:cs="Arial"/>
          <w:b/>
        </w:rPr>
        <w:t>Observation: Based on above analysis, a</w:t>
      </w:r>
      <w:r>
        <w:rPr>
          <w:rFonts w:eastAsia="Malgun Gothic" w:cs="Arial"/>
          <w:b/>
        </w:rPr>
        <w:t xml:space="preserve"> </w:t>
      </w:r>
      <w:r w:rsidR="00DF4948">
        <w:rPr>
          <w:rFonts w:eastAsia="Malgun Gothic" w:cs="Arial"/>
          <w:b/>
        </w:rPr>
        <w:t xml:space="preserve">full picture of </w:t>
      </w:r>
      <w:r>
        <w:rPr>
          <w:rFonts w:cs="Arial"/>
          <w:b/>
        </w:rPr>
        <w:t>c</w:t>
      </w:r>
      <w:r>
        <w:rPr>
          <w:rFonts w:eastAsia="Malgun Gothic" w:cs="Arial"/>
          <w:b/>
        </w:rPr>
        <w:t xml:space="preserve">omparison </w:t>
      </w:r>
      <w:r>
        <w:rPr>
          <w:rFonts w:cs="Arial"/>
          <w:b/>
        </w:rPr>
        <w:t xml:space="preserve">table between the DC-based and </w:t>
      </w:r>
      <w:r w:rsidR="000E57C9">
        <w:rPr>
          <w:rFonts w:cs="Arial"/>
          <w:b/>
        </w:rPr>
        <w:t>non-DC</w:t>
      </w:r>
      <w:r>
        <w:rPr>
          <w:rFonts w:cs="Arial"/>
          <w:b/>
        </w:rPr>
        <w:t xml:space="preserve"> approaches is provided as follows:</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543"/>
        <w:gridCol w:w="4395"/>
      </w:tblGrid>
      <w:tr w:rsidR="00156C4C">
        <w:tc>
          <w:tcPr>
            <w:tcW w:w="1668" w:type="dxa"/>
          </w:tcPr>
          <w:p w:rsidR="00156C4C" w:rsidRDefault="002056EB">
            <w:pPr>
              <w:jc w:val="center"/>
              <w:rPr>
                <w:color w:val="000000"/>
              </w:rPr>
            </w:pPr>
            <w:r>
              <w:rPr>
                <w:b/>
                <w:color w:val="000000"/>
              </w:rPr>
              <w:t>Metric</w:t>
            </w:r>
          </w:p>
        </w:tc>
        <w:tc>
          <w:tcPr>
            <w:tcW w:w="3543" w:type="dxa"/>
          </w:tcPr>
          <w:p w:rsidR="00156C4C" w:rsidRDefault="002056EB">
            <w:pPr>
              <w:jc w:val="center"/>
              <w:rPr>
                <w:color w:val="000000"/>
              </w:rPr>
            </w:pPr>
            <w:r>
              <w:rPr>
                <w:b/>
                <w:color w:val="000000"/>
              </w:rPr>
              <w:t>DC-based</w:t>
            </w:r>
          </w:p>
        </w:tc>
        <w:tc>
          <w:tcPr>
            <w:tcW w:w="4395" w:type="dxa"/>
          </w:tcPr>
          <w:p w:rsidR="00156C4C" w:rsidRDefault="002056EB">
            <w:pPr>
              <w:jc w:val="center"/>
              <w:rPr>
                <w:rFonts w:eastAsia="宋体"/>
                <w:b/>
                <w:color w:val="000000"/>
              </w:rPr>
            </w:pPr>
            <w:r>
              <w:rPr>
                <w:rFonts w:eastAsia="宋体"/>
                <w:b/>
                <w:color w:val="000000"/>
              </w:rPr>
              <w:t>MBB</w:t>
            </w:r>
          </w:p>
        </w:tc>
      </w:tr>
      <w:tr w:rsidR="00156C4C">
        <w:tc>
          <w:tcPr>
            <w:tcW w:w="1668" w:type="dxa"/>
          </w:tcPr>
          <w:p w:rsidR="00156C4C" w:rsidRDefault="002056EB">
            <w:pPr>
              <w:rPr>
                <w:b/>
                <w:color w:val="000000"/>
              </w:rPr>
            </w:pPr>
            <w:r>
              <w:rPr>
                <w:b/>
                <w:color w:val="000000"/>
              </w:rPr>
              <w:t>Total interruption time</w:t>
            </w:r>
          </w:p>
        </w:tc>
        <w:tc>
          <w:tcPr>
            <w:tcW w:w="3543" w:type="dxa"/>
          </w:tcPr>
          <w:p w:rsidR="00156C4C" w:rsidRDefault="002056EB" w:rsidP="001A42B1">
            <w:pPr>
              <w:rPr>
                <w:color w:val="000000"/>
                <w:sz w:val="18"/>
              </w:rPr>
            </w:pPr>
            <w:r>
              <w:rPr>
                <w:color w:val="000000"/>
                <w:sz w:val="18"/>
              </w:rPr>
              <w:t xml:space="preserve">0ms interruption time for both UL and DL from L2 point of view. </w:t>
            </w:r>
          </w:p>
        </w:tc>
        <w:tc>
          <w:tcPr>
            <w:tcW w:w="4395" w:type="dxa"/>
          </w:tcPr>
          <w:p w:rsidR="00156C4C" w:rsidRDefault="002056EB">
            <w:pPr>
              <w:rPr>
                <w:color w:val="000000"/>
                <w:sz w:val="18"/>
              </w:rPr>
            </w:pPr>
            <w:r>
              <w:rPr>
                <w:color w:val="000000"/>
                <w:sz w:val="18"/>
              </w:rPr>
              <w:t xml:space="preserve">0ms UP interruption time and RF interruption time for both UL and DL can be achieved since UE keeps connection with source </w:t>
            </w:r>
            <w:proofErr w:type="spellStart"/>
            <w:r>
              <w:rPr>
                <w:color w:val="000000"/>
                <w:sz w:val="18"/>
              </w:rPr>
              <w:t>gNB</w:t>
            </w:r>
            <w:proofErr w:type="spellEnd"/>
            <w:r>
              <w:rPr>
                <w:color w:val="000000"/>
                <w:sz w:val="18"/>
              </w:rPr>
              <w:t xml:space="preserve"> until successfully accessed to the target </w:t>
            </w:r>
            <w:proofErr w:type="spellStart"/>
            <w:r>
              <w:rPr>
                <w:color w:val="000000"/>
                <w:sz w:val="18"/>
              </w:rPr>
              <w:t>gNB</w:t>
            </w:r>
            <w:proofErr w:type="spellEnd"/>
            <w:r>
              <w:rPr>
                <w:color w:val="000000"/>
                <w:sz w:val="18"/>
              </w:rPr>
              <w:t>.</w:t>
            </w:r>
          </w:p>
        </w:tc>
      </w:tr>
      <w:tr w:rsidR="00156C4C">
        <w:tc>
          <w:tcPr>
            <w:tcW w:w="1668" w:type="dxa"/>
          </w:tcPr>
          <w:p w:rsidR="00156C4C" w:rsidRDefault="002056EB">
            <w:pPr>
              <w:rPr>
                <w:b/>
                <w:color w:val="000000"/>
              </w:rPr>
            </w:pPr>
            <w:r>
              <w:rPr>
                <w:b/>
                <w:color w:val="000000"/>
              </w:rPr>
              <w:t xml:space="preserve">RF requirements </w:t>
            </w:r>
          </w:p>
        </w:tc>
        <w:tc>
          <w:tcPr>
            <w:tcW w:w="3543" w:type="dxa"/>
          </w:tcPr>
          <w:p w:rsidR="00156C4C" w:rsidRDefault="002056EB" w:rsidP="000E57C9">
            <w:pPr>
              <w:rPr>
                <w:color w:val="000000"/>
                <w:sz w:val="18"/>
              </w:rPr>
            </w:pPr>
            <w:r>
              <w:rPr>
                <w:color w:val="000000"/>
                <w:sz w:val="18"/>
              </w:rPr>
              <w:t xml:space="preserve">Dual </w:t>
            </w:r>
            <w:proofErr w:type="spellStart"/>
            <w:r>
              <w:rPr>
                <w:color w:val="000000"/>
                <w:sz w:val="18"/>
              </w:rPr>
              <w:t>Tx</w:t>
            </w:r>
            <w:proofErr w:type="spellEnd"/>
            <w:r>
              <w:rPr>
                <w:color w:val="000000"/>
                <w:sz w:val="18"/>
              </w:rPr>
              <w:t>/Rx chains should be supported by UE to achieve 0ms user plane interruption time</w:t>
            </w:r>
            <w:r w:rsidR="000E57C9">
              <w:rPr>
                <w:color w:val="000000"/>
                <w:sz w:val="18"/>
              </w:rPr>
              <w:t xml:space="preserve">; Single </w:t>
            </w:r>
            <w:proofErr w:type="spellStart"/>
            <w:r w:rsidR="000E57C9">
              <w:rPr>
                <w:color w:val="000000"/>
                <w:sz w:val="18"/>
              </w:rPr>
              <w:t>Tx</w:t>
            </w:r>
            <w:proofErr w:type="spellEnd"/>
            <w:r w:rsidR="000E57C9">
              <w:rPr>
                <w:color w:val="000000"/>
                <w:sz w:val="18"/>
              </w:rPr>
              <w:t xml:space="preserve">/Rx chains </w:t>
            </w:r>
            <w:r>
              <w:rPr>
                <w:color w:val="000000"/>
                <w:sz w:val="18"/>
              </w:rPr>
              <w:t xml:space="preserve"> </w:t>
            </w:r>
            <w:r w:rsidR="000E57C9">
              <w:rPr>
                <w:color w:val="000000"/>
                <w:sz w:val="18"/>
              </w:rPr>
              <w:t>may be close to 0ms</w:t>
            </w:r>
          </w:p>
        </w:tc>
        <w:tc>
          <w:tcPr>
            <w:tcW w:w="4395" w:type="dxa"/>
          </w:tcPr>
          <w:p w:rsidR="00156C4C" w:rsidRPr="000E57C9" w:rsidRDefault="002056EB" w:rsidP="001A42B1">
            <w:pPr>
              <w:rPr>
                <w:b/>
                <w:color w:val="000000"/>
                <w:sz w:val="18"/>
              </w:rPr>
            </w:pPr>
            <w:r>
              <w:rPr>
                <w:color w:val="000000"/>
                <w:sz w:val="18"/>
              </w:rPr>
              <w:t xml:space="preserve">Dual </w:t>
            </w:r>
            <w:proofErr w:type="spellStart"/>
            <w:r>
              <w:rPr>
                <w:color w:val="000000"/>
                <w:sz w:val="18"/>
              </w:rPr>
              <w:t>Tx</w:t>
            </w:r>
            <w:proofErr w:type="spellEnd"/>
            <w:r>
              <w:rPr>
                <w:color w:val="000000"/>
                <w:sz w:val="18"/>
              </w:rPr>
              <w:t>/Rx chains should be supported by UE to achieve 0ms user plane interruption time</w:t>
            </w:r>
            <w:r w:rsidR="000E57C9">
              <w:rPr>
                <w:color w:val="000000"/>
                <w:sz w:val="18"/>
              </w:rPr>
              <w:t xml:space="preserve">; Single </w:t>
            </w:r>
            <w:proofErr w:type="spellStart"/>
            <w:r w:rsidR="000E57C9">
              <w:rPr>
                <w:color w:val="000000"/>
                <w:sz w:val="18"/>
              </w:rPr>
              <w:t>Tx</w:t>
            </w:r>
            <w:proofErr w:type="spellEnd"/>
            <w:r w:rsidR="000E57C9">
              <w:rPr>
                <w:color w:val="000000"/>
                <w:sz w:val="18"/>
              </w:rPr>
              <w:t>/Rx chains  may be close to 0ms</w:t>
            </w:r>
          </w:p>
        </w:tc>
      </w:tr>
      <w:tr w:rsidR="00623E1D">
        <w:tc>
          <w:tcPr>
            <w:tcW w:w="1668" w:type="dxa"/>
          </w:tcPr>
          <w:p w:rsidR="00623E1D" w:rsidRPr="00623E1D" w:rsidRDefault="00623E1D" w:rsidP="00623E1D">
            <w:pPr>
              <w:rPr>
                <w:b/>
              </w:rPr>
            </w:pPr>
            <w:r w:rsidRPr="00623E1D">
              <w:rPr>
                <w:b/>
              </w:rPr>
              <w:t>Signaling overhead</w:t>
            </w:r>
          </w:p>
        </w:tc>
        <w:tc>
          <w:tcPr>
            <w:tcW w:w="3543" w:type="dxa"/>
          </w:tcPr>
          <w:p w:rsidR="00623E1D" w:rsidRDefault="00DF4948" w:rsidP="00DF4948">
            <w:r>
              <w:t>to introduce role switch procedure during HO</w:t>
            </w:r>
          </w:p>
        </w:tc>
        <w:tc>
          <w:tcPr>
            <w:tcW w:w="4395" w:type="dxa"/>
          </w:tcPr>
          <w:p w:rsidR="00623E1D" w:rsidRDefault="00DF4948" w:rsidP="00DF4948">
            <w:r>
              <w:t>Low complexity of overall signaling,</w:t>
            </w:r>
            <w:r>
              <w:rPr>
                <w:color w:val="000000"/>
                <w:sz w:val="18"/>
              </w:rPr>
              <w:t xml:space="preserve"> UE follows most of the legacy HO procedure, with minor indication.</w:t>
            </w:r>
          </w:p>
        </w:tc>
      </w:tr>
      <w:tr w:rsidR="00156C4C">
        <w:tc>
          <w:tcPr>
            <w:tcW w:w="1668" w:type="dxa"/>
          </w:tcPr>
          <w:p w:rsidR="00156C4C" w:rsidRDefault="002056EB">
            <w:pPr>
              <w:rPr>
                <w:b/>
                <w:color w:val="000000"/>
              </w:rPr>
            </w:pPr>
            <w:r>
              <w:rPr>
                <w:b/>
                <w:color w:val="000000"/>
              </w:rPr>
              <w:t>Protocol stacks  Complexity</w:t>
            </w:r>
          </w:p>
        </w:tc>
        <w:tc>
          <w:tcPr>
            <w:tcW w:w="3543" w:type="dxa"/>
          </w:tcPr>
          <w:p w:rsidR="00156C4C" w:rsidRDefault="002056EB">
            <w:pPr>
              <w:rPr>
                <w:color w:val="000000"/>
                <w:sz w:val="18"/>
              </w:rPr>
            </w:pPr>
            <w:r>
              <w:rPr>
                <w:color w:val="000000"/>
                <w:sz w:val="18"/>
              </w:rPr>
              <w:t xml:space="preserve">Split bearer defined in intra-NR DC can be basically re-used. And an indication to differentiate the security context is needed in PDCP. </w:t>
            </w:r>
          </w:p>
        </w:tc>
        <w:tc>
          <w:tcPr>
            <w:tcW w:w="4395" w:type="dxa"/>
          </w:tcPr>
          <w:p w:rsidR="00156C4C" w:rsidRDefault="002056EB">
            <w:pPr>
              <w:rPr>
                <w:color w:val="000000"/>
                <w:sz w:val="18"/>
              </w:rPr>
            </w:pPr>
            <w:r>
              <w:rPr>
                <w:color w:val="000000"/>
                <w:sz w:val="18"/>
              </w:rPr>
              <w:t xml:space="preserve">UE shall keep two sets of protocol stacks (for SRB, DRB) for source </w:t>
            </w:r>
            <w:proofErr w:type="spellStart"/>
            <w:r>
              <w:rPr>
                <w:color w:val="000000"/>
                <w:sz w:val="18"/>
              </w:rPr>
              <w:t>gNB</w:t>
            </w:r>
            <w:proofErr w:type="spellEnd"/>
            <w:r>
              <w:rPr>
                <w:color w:val="000000"/>
                <w:sz w:val="18"/>
              </w:rPr>
              <w:t xml:space="preserve"> and target </w:t>
            </w:r>
            <w:proofErr w:type="spellStart"/>
            <w:r>
              <w:rPr>
                <w:color w:val="000000"/>
                <w:sz w:val="18"/>
              </w:rPr>
              <w:t>gNB</w:t>
            </w:r>
            <w:proofErr w:type="spellEnd"/>
            <w:r>
              <w:rPr>
                <w:color w:val="000000"/>
                <w:sz w:val="18"/>
              </w:rPr>
              <w:t xml:space="preserve"> respectively. The PDCP layer further splits into two separated (de)compression and (de)ciphering functionality and a unified SN assignment and reordering / duplication detection functionality.</w:t>
            </w:r>
          </w:p>
        </w:tc>
      </w:tr>
      <w:tr w:rsidR="00156C4C">
        <w:tc>
          <w:tcPr>
            <w:tcW w:w="1668" w:type="dxa"/>
          </w:tcPr>
          <w:p w:rsidR="00156C4C" w:rsidRDefault="002056EB">
            <w:pPr>
              <w:rPr>
                <w:b/>
                <w:color w:val="000000"/>
              </w:rPr>
            </w:pPr>
            <w:r>
              <w:rPr>
                <w:b/>
                <w:color w:val="000000"/>
              </w:rPr>
              <w:t>UE Complexity</w:t>
            </w:r>
          </w:p>
        </w:tc>
        <w:tc>
          <w:tcPr>
            <w:tcW w:w="3543" w:type="dxa"/>
          </w:tcPr>
          <w:p w:rsidR="00156C4C" w:rsidRDefault="00623E1D" w:rsidP="00623E1D">
            <w:pPr>
              <w:rPr>
                <w:color w:val="000000"/>
                <w:sz w:val="18"/>
              </w:rPr>
            </w:pPr>
            <w:r>
              <w:rPr>
                <w:color w:val="000000"/>
                <w:sz w:val="18"/>
              </w:rPr>
              <w:t xml:space="preserve">Support of </w:t>
            </w:r>
            <w:r w:rsidR="002056EB">
              <w:rPr>
                <w:color w:val="000000"/>
                <w:sz w:val="18"/>
              </w:rPr>
              <w:t xml:space="preserve">Split bearer </w:t>
            </w:r>
            <w:r>
              <w:rPr>
                <w:color w:val="000000"/>
                <w:sz w:val="18"/>
              </w:rPr>
              <w:t>function</w:t>
            </w:r>
            <w:r w:rsidR="002056EB">
              <w:rPr>
                <w:color w:val="000000"/>
                <w:sz w:val="18"/>
              </w:rPr>
              <w:t>. And the PDCP needs to keep two security keys and two ROHC contexts in a certain period.</w:t>
            </w:r>
            <w:r>
              <w:rPr>
                <w:color w:val="000000"/>
                <w:sz w:val="18"/>
              </w:rPr>
              <w:t xml:space="preserve"> For the control plane, UE follows most of the DC procedure.</w:t>
            </w:r>
          </w:p>
        </w:tc>
        <w:tc>
          <w:tcPr>
            <w:tcW w:w="4395" w:type="dxa"/>
          </w:tcPr>
          <w:p w:rsidR="00156C4C" w:rsidRDefault="002056EB">
            <w:pPr>
              <w:rPr>
                <w:color w:val="000000"/>
                <w:sz w:val="18"/>
              </w:rPr>
            </w:pPr>
            <w:r>
              <w:rPr>
                <w:color w:val="000000"/>
                <w:sz w:val="18"/>
              </w:rPr>
              <w:t>UE shall be able to maintain two sets of keys and ROHC profiles. For the control plane, UE follows most of the legacy HO procedure.</w:t>
            </w:r>
          </w:p>
        </w:tc>
      </w:tr>
      <w:tr w:rsidR="00156C4C">
        <w:tc>
          <w:tcPr>
            <w:tcW w:w="1668" w:type="dxa"/>
          </w:tcPr>
          <w:p w:rsidR="00156C4C" w:rsidRDefault="002056EB">
            <w:pPr>
              <w:rPr>
                <w:b/>
                <w:color w:val="000000"/>
              </w:rPr>
            </w:pPr>
            <w:r>
              <w:rPr>
                <w:b/>
                <w:color w:val="000000"/>
              </w:rPr>
              <w:t>NW Complexity</w:t>
            </w:r>
          </w:p>
        </w:tc>
        <w:tc>
          <w:tcPr>
            <w:tcW w:w="3543" w:type="dxa"/>
          </w:tcPr>
          <w:p w:rsidR="00156C4C" w:rsidRDefault="00623E1D" w:rsidP="00213241">
            <w:pPr>
              <w:rPr>
                <w:color w:val="000000"/>
                <w:sz w:val="18"/>
              </w:rPr>
            </w:pPr>
            <w:r>
              <w:rPr>
                <w:color w:val="000000"/>
                <w:sz w:val="18"/>
              </w:rPr>
              <w:t xml:space="preserve">Support of Split bearer function. </w:t>
            </w:r>
            <w:proofErr w:type="spellStart"/>
            <w:proofErr w:type="gramStart"/>
            <w:r w:rsidR="00213241">
              <w:rPr>
                <w:color w:val="000000"/>
                <w:sz w:val="18"/>
              </w:rPr>
              <w:t>lts</w:t>
            </w:r>
            <w:proofErr w:type="spellEnd"/>
            <w:proofErr w:type="gramEnd"/>
            <w:r w:rsidR="002056EB">
              <w:rPr>
                <w:color w:val="000000"/>
                <w:sz w:val="18"/>
              </w:rPr>
              <w:t xml:space="preserve"> bearer defined in intra-NR DC can be basically re-used, where two GTP tunnels are required to reduce the downlink interruption due to data forwarding.</w:t>
            </w:r>
          </w:p>
        </w:tc>
        <w:tc>
          <w:tcPr>
            <w:tcW w:w="4395" w:type="dxa"/>
          </w:tcPr>
          <w:p w:rsidR="00156C4C" w:rsidRDefault="00623E1D">
            <w:pPr>
              <w:rPr>
                <w:rFonts w:eastAsia="Malgun Gothic"/>
                <w:bCs/>
                <w:sz w:val="18"/>
                <w:lang w:eastAsia="ko-KR"/>
              </w:rPr>
            </w:pPr>
            <w:r>
              <w:rPr>
                <w:color w:val="000000"/>
                <w:sz w:val="18"/>
              </w:rPr>
              <w:t>T</w:t>
            </w:r>
            <w:r w:rsidR="002056EB">
              <w:rPr>
                <w:color w:val="000000"/>
                <w:sz w:val="18"/>
              </w:rPr>
              <w:t xml:space="preserve">o enable the source </w:t>
            </w:r>
            <w:proofErr w:type="spellStart"/>
            <w:r w:rsidR="002056EB">
              <w:rPr>
                <w:color w:val="000000"/>
                <w:sz w:val="18"/>
              </w:rPr>
              <w:t>gNB</w:t>
            </w:r>
            <w:proofErr w:type="spellEnd"/>
            <w:r w:rsidR="002056EB">
              <w:rPr>
                <w:color w:val="000000"/>
                <w:sz w:val="18"/>
              </w:rPr>
              <w:t xml:space="preserve"> continue data transmission/reception upon the handover command,</w:t>
            </w:r>
            <w:r w:rsidR="002056EB">
              <w:rPr>
                <w:rFonts w:eastAsia="Malgun Gothic"/>
                <w:bCs/>
                <w:sz w:val="18"/>
                <w:lang w:eastAsia="ko-KR"/>
              </w:rPr>
              <w:t xml:space="preserve"> until the target </w:t>
            </w:r>
            <w:proofErr w:type="spellStart"/>
            <w:r w:rsidR="002056EB">
              <w:rPr>
                <w:rFonts w:eastAsia="Malgun Gothic"/>
                <w:bCs/>
                <w:sz w:val="18"/>
                <w:lang w:eastAsia="ko-KR"/>
              </w:rPr>
              <w:t>gNB</w:t>
            </w:r>
            <w:proofErr w:type="spellEnd"/>
            <w:r w:rsidR="002056EB">
              <w:rPr>
                <w:rFonts w:eastAsia="Malgun Gothic"/>
                <w:bCs/>
                <w:sz w:val="18"/>
                <w:lang w:eastAsia="ko-KR"/>
              </w:rPr>
              <w:t xml:space="preserve"> is ready;</w:t>
            </w:r>
          </w:p>
          <w:p w:rsidR="00156C4C" w:rsidRDefault="002056EB">
            <w:pPr>
              <w:rPr>
                <w:color w:val="000000"/>
                <w:sz w:val="18"/>
              </w:rPr>
            </w:pPr>
            <w:r>
              <w:rPr>
                <w:color w:val="000000"/>
                <w:sz w:val="18"/>
              </w:rPr>
              <w:t xml:space="preserve">Impact on the data forwarding on </w:t>
            </w:r>
            <w:proofErr w:type="spellStart"/>
            <w:r>
              <w:rPr>
                <w:color w:val="000000"/>
                <w:sz w:val="18"/>
              </w:rPr>
              <w:t>Xn</w:t>
            </w:r>
            <w:proofErr w:type="spellEnd"/>
            <w:r>
              <w:rPr>
                <w:color w:val="000000"/>
                <w:sz w:val="18"/>
              </w:rPr>
              <w:t xml:space="preserve"> interface.</w:t>
            </w:r>
          </w:p>
        </w:tc>
      </w:tr>
      <w:tr w:rsidR="00156C4C">
        <w:tc>
          <w:tcPr>
            <w:tcW w:w="1668" w:type="dxa"/>
          </w:tcPr>
          <w:p w:rsidR="00156C4C" w:rsidRDefault="002056EB">
            <w:pPr>
              <w:rPr>
                <w:b/>
                <w:color w:val="000000"/>
              </w:rPr>
            </w:pPr>
            <w:r>
              <w:rPr>
                <w:b/>
                <w:color w:val="000000"/>
              </w:rPr>
              <w:t>Security  Complexity</w:t>
            </w:r>
          </w:p>
        </w:tc>
        <w:tc>
          <w:tcPr>
            <w:tcW w:w="3543" w:type="dxa"/>
          </w:tcPr>
          <w:p w:rsidR="00156C4C" w:rsidRDefault="00623E1D">
            <w:pPr>
              <w:rPr>
                <w:rFonts w:cs="Arial"/>
                <w:sz w:val="18"/>
              </w:rPr>
            </w:pPr>
            <w:r>
              <w:rPr>
                <w:rFonts w:cs="Arial"/>
                <w:sz w:val="18"/>
              </w:rPr>
              <w:t>O</w:t>
            </w:r>
            <w:r w:rsidR="002056EB">
              <w:rPr>
                <w:rFonts w:cs="Arial"/>
                <w:sz w:val="18"/>
              </w:rPr>
              <w:t xml:space="preserve">ne security key needs to be maintained as in DC. </w:t>
            </w:r>
          </w:p>
          <w:p w:rsidR="00156C4C" w:rsidRDefault="002056EB">
            <w:pPr>
              <w:rPr>
                <w:color w:val="000000"/>
                <w:sz w:val="18"/>
              </w:rPr>
            </w:pPr>
            <w:r>
              <w:rPr>
                <w:color w:val="000000"/>
                <w:sz w:val="18"/>
              </w:rPr>
              <w:t>And there may be security key ambiguity issue during the role change for the UE.</w:t>
            </w:r>
          </w:p>
        </w:tc>
        <w:tc>
          <w:tcPr>
            <w:tcW w:w="4395" w:type="dxa"/>
          </w:tcPr>
          <w:p w:rsidR="00156C4C" w:rsidRDefault="002056EB">
            <w:pPr>
              <w:rPr>
                <w:color w:val="000000"/>
                <w:sz w:val="18"/>
              </w:rPr>
            </w:pPr>
            <w:r>
              <w:rPr>
                <w:color w:val="000000"/>
                <w:sz w:val="18"/>
              </w:rPr>
              <w:t xml:space="preserve">Two sets of keys </w:t>
            </w:r>
            <w:r>
              <w:rPr>
                <w:rFonts w:cs="Arial"/>
                <w:sz w:val="18"/>
              </w:rPr>
              <w:t>need to be maintained</w:t>
            </w:r>
            <w:r>
              <w:rPr>
                <w:sz w:val="18"/>
              </w:rPr>
              <w:t xml:space="preserve"> </w:t>
            </w:r>
            <w:r>
              <w:rPr>
                <w:color w:val="000000"/>
                <w:sz w:val="18"/>
              </w:rPr>
              <w:t xml:space="preserve">at the UE side, one for source </w:t>
            </w:r>
            <w:proofErr w:type="spellStart"/>
            <w:r>
              <w:rPr>
                <w:color w:val="000000"/>
                <w:sz w:val="18"/>
              </w:rPr>
              <w:t>gNB</w:t>
            </w:r>
            <w:proofErr w:type="spellEnd"/>
            <w:r>
              <w:rPr>
                <w:color w:val="000000"/>
                <w:sz w:val="18"/>
              </w:rPr>
              <w:t xml:space="preserve"> and the other for target </w:t>
            </w:r>
            <w:proofErr w:type="spellStart"/>
            <w:r>
              <w:rPr>
                <w:color w:val="000000"/>
                <w:sz w:val="18"/>
              </w:rPr>
              <w:t>gNB</w:t>
            </w:r>
            <w:proofErr w:type="spellEnd"/>
            <w:r>
              <w:rPr>
                <w:color w:val="000000"/>
                <w:sz w:val="18"/>
              </w:rPr>
              <w:t>.</w:t>
            </w:r>
          </w:p>
        </w:tc>
      </w:tr>
      <w:tr w:rsidR="00156C4C">
        <w:tc>
          <w:tcPr>
            <w:tcW w:w="1668" w:type="dxa"/>
          </w:tcPr>
          <w:p w:rsidR="00156C4C" w:rsidRDefault="002056EB">
            <w:pPr>
              <w:rPr>
                <w:rFonts w:eastAsia="宋体"/>
                <w:b/>
                <w:color w:val="000000"/>
              </w:rPr>
            </w:pPr>
            <w:r>
              <w:rPr>
                <w:rFonts w:eastAsia="宋体" w:hint="eastAsia"/>
                <w:b/>
                <w:color w:val="000000"/>
              </w:rPr>
              <w:t xml:space="preserve">PDCP </w:t>
            </w:r>
            <w:r>
              <w:rPr>
                <w:rFonts w:eastAsia="宋体"/>
                <w:b/>
                <w:color w:val="000000"/>
              </w:rPr>
              <w:t>Function Complexity</w:t>
            </w:r>
          </w:p>
        </w:tc>
        <w:tc>
          <w:tcPr>
            <w:tcW w:w="3543" w:type="dxa"/>
          </w:tcPr>
          <w:p w:rsidR="00156C4C" w:rsidRDefault="002056EB">
            <w:pPr>
              <w:rPr>
                <w:rFonts w:cs="Arial"/>
                <w:sz w:val="18"/>
              </w:rPr>
            </w:pPr>
            <w:r>
              <w:rPr>
                <w:rFonts w:cs="Arial"/>
                <w:sz w:val="18"/>
              </w:rPr>
              <w:t xml:space="preserve">The PDCP reordering function in the source </w:t>
            </w:r>
            <w:proofErr w:type="spellStart"/>
            <w:r>
              <w:rPr>
                <w:rFonts w:cs="Arial"/>
                <w:sz w:val="18"/>
              </w:rPr>
              <w:t>gNB</w:t>
            </w:r>
            <w:proofErr w:type="spellEnd"/>
            <w:r>
              <w:rPr>
                <w:rFonts w:cs="Arial"/>
                <w:sz w:val="18"/>
              </w:rPr>
              <w:t xml:space="preserve"> is used to reorder PDCP PDUs from both source </w:t>
            </w:r>
            <w:proofErr w:type="spellStart"/>
            <w:r>
              <w:rPr>
                <w:rFonts w:cs="Arial"/>
                <w:sz w:val="18"/>
              </w:rPr>
              <w:t>gNB</w:t>
            </w:r>
            <w:proofErr w:type="spellEnd"/>
            <w:r>
              <w:rPr>
                <w:rFonts w:cs="Arial"/>
                <w:sz w:val="18"/>
              </w:rPr>
              <w:t xml:space="preserve"> and target </w:t>
            </w:r>
            <w:proofErr w:type="spellStart"/>
            <w:r>
              <w:rPr>
                <w:rFonts w:cs="Arial"/>
                <w:sz w:val="18"/>
              </w:rPr>
              <w:t>gNB</w:t>
            </w:r>
            <w:proofErr w:type="spellEnd"/>
            <w:r>
              <w:rPr>
                <w:rFonts w:cs="Arial"/>
                <w:sz w:val="18"/>
              </w:rPr>
              <w:t>.</w:t>
            </w:r>
          </w:p>
          <w:p w:rsidR="00156C4C" w:rsidRDefault="002056EB">
            <w:pPr>
              <w:rPr>
                <w:rFonts w:cs="Arial"/>
                <w:sz w:val="18"/>
              </w:rPr>
            </w:pPr>
            <w:r>
              <w:rPr>
                <w:rFonts w:cs="Arial"/>
                <w:sz w:val="18"/>
              </w:rPr>
              <w:t xml:space="preserve">The enhancement for the </w:t>
            </w:r>
            <w:r>
              <w:rPr>
                <w:rFonts w:eastAsia="宋体" w:cs="Arial"/>
                <w:sz w:val="18"/>
              </w:rPr>
              <w:t>PDCP relocation is needed.</w:t>
            </w:r>
          </w:p>
        </w:tc>
        <w:tc>
          <w:tcPr>
            <w:tcW w:w="4395" w:type="dxa"/>
          </w:tcPr>
          <w:p w:rsidR="00156C4C" w:rsidRDefault="002056EB">
            <w:pPr>
              <w:rPr>
                <w:color w:val="000000"/>
                <w:sz w:val="18"/>
              </w:rPr>
            </w:pPr>
            <w:r>
              <w:rPr>
                <w:color w:val="000000"/>
                <w:sz w:val="18"/>
              </w:rPr>
              <w:t xml:space="preserve">A tentative PDCP reordering function is used to reorder PDCP PDUs delivered from the PDCP entities in both source </w:t>
            </w:r>
            <w:proofErr w:type="spellStart"/>
            <w:r>
              <w:rPr>
                <w:color w:val="000000"/>
                <w:sz w:val="18"/>
              </w:rPr>
              <w:t>gNB</w:t>
            </w:r>
            <w:proofErr w:type="spellEnd"/>
            <w:r>
              <w:rPr>
                <w:color w:val="000000"/>
                <w:sz w:val="18"/>
              </w:rPr>
              <w:t xml:space="preserve"> and target </w:t>
            </w:r>
            <w:proofErr w:type="spellStart"/>
            <w:r>
              <w:rPr>
                <w:color w:val="000000"/>
                <w:sz w:val="18"/>
              </w:rPr>
              <w:t>gNB</w:t>
            </w:r>
            <w:proofErr w:type="spellEnd"/>
            <w:r>
              <w:rPr>
                <w:color w:val="000000"/>
                <w:sz w:val="18"/>
              </w:rPr>
              <w:t>;</w:t>
            </w:r>
          </w:p>
          <w:p w:rsidR="00156C4C" w:rsidRDefault="002056EB">
            <w:pPr>
              <w:rPr>
                <w:color w:val="000000"/>
                <w:sz w:val="18"/>
              </w:rPr>
            </w:pPr>
            <w:r>
              <w:rPr>
                <w:color w:val="000000"/>
                <w:sz w:val="18"/>
              </w:rPr>
              <w:t>This option doesn’t need UP protocol reset for PDCP relocation at the network side.</w:t>
            </w:r>
          </w:p>
        </w:tc>
      </w:tr>
      <w:tr w:rsidR="00156C4C">
        <w:tc>
          <w:tcPr>
            <w:tcW w:w="1668" w:type="dxa"/>
          </w:tcPr>
          <w:p w:rsidR="00156C4C" w:rsidRDefault="002056EB">
            <w:pPr>
              <w:rPr>
                <w:b/>
                <w:color w:val="000000"/>
              </w:rPr>
            </w:pPr>
            <w:r>
              <w:rPr>
                <w:b/>
                <w:color w:val="000000"/>
              </w:rPr>
              <w:t>Applicable deployment scenarios</w:t>
            </w:r>
          </w:p>
        </w:tc>
        <w:tc>
          <w:tcPr>
            <w:tcW w:w="3543" w:type="dxa"/>
          </w:tcPr>
          <w:p w:rsidR="00156C4C" w:rsidRDefault="002056EB">
            <w:pPr>
              <w:rPr>
                <w:color w:val="000000"/>
                <w:sz w:val="18"/>
              </w:rPr>
            </w:pPr>
            <w:r>
              <w:rPr>
                <w:color w:val="000000"/>
                <w:sz w:val="18"/>
              </w:rPr>
              <w:t xml:space="preserve">The intra-NR DC deployed scenarios </w:t>
            </w:r>
          </w:p>
        </w:tc>
        <w:tc>
          <w:tcPr>
            <w:tcW w:w="4395" w:type="dxa"/>
          </w:tcPr>
          <w:p w:rsidR="00156C4C" w:rsidRDefault="002056EB">
            <w:pPr>
              <w:rPr>
                <w:color w:val="000000"/>
                <w:sz w:val="18"/>
              </w:rPr>
            </w:pPr>
            <w:r>
              <w:rPr>
                <w:color w:val="000000"/>
                <w:sz w:val="18"/>
              </w:rPr>
              <w:t xml:space="preserve">The </w:t>
            </w:r>
            <w:proofErr w:type="spellStart"/>
            <w:r>
              <w:rPr>
                <w:color w:val="000000"/>
                <w:sz w:val="18"/>
              </w:rPr>
              <w:t>eMBB</w:t>
            </w:r>
            <w:proofErr w:type="spellEnd"/>
            <w:r>
              <w:rPr>
                <w:color w:val="000000"/>
                <w:sz w:val="18"/>
              </w:rPr>
              <w:t xml:space="preserve"> solution is more applicable for LTE, since LTE has not deploy the Dual Connectivity.</w:t>
            </w:r>
          </w:p>
        </w:tc>
      </w:tr>
      <w:tr w:rsidR="00156C4C">
        <w:tc>
          <w:tcPr>
            <w:tcW w:w="1668" w:type="dxa"/>
          </w:tcPr>
          <w:p w:rsidR="00156C4C" w:rsidRDefault="002056EB">
            <w:pPr>
              <w:rPr>
                <w:b/>
                <w:color w:val="000000"/>
              </w:rPr>
            </w:pPr>
            <w:r>
              <w:rPr>
                <w:b/>
                <w:color w:val="000000"/>
              </w:rPr>
              <w:lastRenderedPageBreak/>
              <w:t xml:space="preserve">Necessity of simultaneous RLM </w:t>
            </w:r>
          </w:p>
        </w:tc>
        <w:tc>
          <w:tcPr>
            <w:tcW w:w="3543" w:type="dxa"/>
          </w:tcPr>
          <w:p w:rsidR="00156C4C" w:rsidRDefault="002056EB">
            <w:pPr>
              <w:rPr>
                <w:color w:val="000000"/>
                <w:sz w:val="18"/>
              </w:rPr>
            </w:pPr>
            <w:r>
              <w:rPr>
                <w:color w:val="000000"/>
                <w:sz w:val="18"/>
              </w:rPr>
              <w:t>The RLM procedures defined in intra-NR DC can be reused.</w:t>
            </w:r>
          </w:p>
        </w:tc>
        <w:tc>
          <w:tcPr>
            <w:tcW w:w="4395" w:type="dxa"/>
          </w:tcPr>
          <w:p w:rsidR="00156C4C" w:rsidRDefault="002056EB">
            <w:pPr>
              <w:rPr>
                <w:color w:val="000000"/>
                <w:sz w:val="18"/>
              </w:rPr>
            </w:pPr>
            <w:r>
              <w:rPr>
                <w:color w:val="000000"/>
                <w:sz w:val="18"/>
              </w:rPr>
              <w:t>The simultaneous RLM is not required for simultaneous connectivity.  RLM should be either based on target once the UE has camp on target cell or UE perform RLM on both links and declare RLF only when both links are RLF.</w:t>
            </w:r>
          </w:p>
        </w:tc>
      </w:tr>
    </w:tbl>
    <w:p w:rsidR="00156C4C" w:rsidRDefault="00156C4C">
      <w:pPr>
        <w:pStyle w:val="B1"/>
        <w:ind w:left="0" w:firstLine="0"/>
        <w:rPr>
          <w:u w:val="single"/>
        </w:rPr>
      </w:pPr>
    </w:p>
    <w:p w:rsidR="00156C4C" w:rsidRDefault="002056EB">
      <w:pPr>
        <w:pStyle w:val="1"/>
        <w:rPr>
          <w:rFonts w:ascii="Times New Roman" w:hAnsi="Times New Roman" w:cs="Times New Roman"/>
          <w:sz w:val="32"/>
          <w:szCs w:val="32"/>
        </w:rPr>
      </w:pPr>
      <w:r>
        <w:rPr>
          <w:rFonts w:ascii="Times New Roman" w:eastAsia="Malgun Gothic" w:hAnsi="Times New Roman" w:cs="Times New Roman"/>
          <w:sz w:val="32"/>
          <w:szCs w:val="32"/>
        </w:rPr>
        <w:t>Conclusion</w:t>
      </w:r>
    </w:p>
    <w:p w:rsidR="00DF4948" w:rsidRDefault="00DF4948" w:rsidP="00DF4948">
      <w:pPr>
        <w:pStyle w:val="B1"/>
        <w:ind w:left="0" w:firstLine="0"/>
        <w:rPr>
          <w:rFonts w:cs="Arial"/>
          <w:b/>
        </w:rPr>
      </w:pPr>
      <w:r>
        <w:rPr>
          <w:rFonts w:cs="Arial"/>
          <w:b/>
        </w:rPr>
        <w:t>Observation: Based on above analysis, a</w:t>
      </w:r>
      <w:r>
        <w:rPr>
          <w:rFonts w:eastAsia="Malgun Gothic" w:cs="Arial"/>
          <w:b/>
        </w:rPr>
        <w:t xml:space="preserve"> full picture of </w:t>
      </w:r>
      <w:r>
        <w:rPr>
          <w:rFonts w:cs="Arial"/>
          <w:b/>
        </w:rPr>
        <w:t>c</w:t>
      </w:r>
      <w:r>
        <w:rPr>
          <w:rFonts w:eastAsia="Malgun Gothic" w:cs="Arial"/>
          <w:b/>
        </w:rPr>
        <w:t xml:space="preserve">omparison </w:t>
      </w:r>
      <w:r>
        <w:rPr>
          <w:rFonts w:cs="Arial"/>
          <w:b/>
        </w:rPr>
        <w:t>table between the DC-based and non-DC approaches is provided as follows:</w:t>
      </w:r>
    </w:p>
    <w:tbl>
      <w:tblPr>
        <w:tblpPr w:leftFromText="180" w:rightFromText="180" w:vertAnchor="text" w:horzAnchor="margin" w:tblpY="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543"/>
        <w:gridCol w:w="4395"/>
      </w:tblGrid>
      <w:tr w:rsidR="00DF4948" w:rsidTr="00C67145">
        <w:tc>
          <w:tcPr>
            <w:tcW w:w="1668" w:type="dxa"/>
          </w:tcPr>
          <w:p w:rsidR="00DF4948" w:rsidRDefault="00DF4948" w:rsidP="00C67145">
            <w:pPr>
              <w:jc w:val="center"/>
              <w:rPr>
                <w:color w:val="000000"/>
              </w:rPr>
            </w:pPr>
            <w:r>
              <w:rPr>
                <w:b/>
                <w:color w:val="000000"/>
              </w:rPr>
              <w:t>Metric</w:t>
            </w:r>
          </w:p>
        </w:tc>
        <w:tc>
          <w:tcPr>
            <w:tcW w:w="3543" w:type="dxa"/>
          </w:tcPr>
          <w:p w:rsidR="00DF4948" w:rsidRDefault="00DF4948" w:rsidP="00C67145">
            <w:pPr>
              <w:jc w:val="center"/>
              <w:rPr>
                <w:color w:val="000000"/>
              </w:rPr>
            </w:pPr>
            <w:r>
              <w:rPr>
                <w:b/>
                <w:color w:val="000000"/>
              </w:rPr>
              <w:t>DC-based</w:t>
            </w:r>
          </w:p>
        </w:tc>
        <w:tc>
          <w:tcPr>
            <w:tcW w:w="4395" w:type="dxa"/>
          </w:tcPr>
          <w:p w:rsidR="00DF4948" w:rsidRDefault="00DF4948" w:rsidP="00C67145">
            <w:pPr>
              <w:jc w:val="center"/>
              <w:rPr>
                <w:rFonts w:eastAsia="宋体"/>
                <w:b/>
                <w:color w:val="000000"/>
              </w:rPr>
            </w:pPr>
            <w:r>
              <w:rPr>
                <w:rFonts w:eastAsia="宋体"/>
                <w:b/>
                <w:color w:val="000000"/>
              </w:rPr>
              <w:t>MBB</w:t>
            </w:r>
          </w:p>
        </w:tc>
      </w:tr>
      <w:tr w:rsidR="00DF4948" w:rsidTr="00C67145">
        <w:tc>
          <w:tcPr>
            <w:tcW w:w="1668" w:type="dxa"/>
          </w:tcPr>
          <w:p w:rsidR="00DF4948" w:rsidRDefault="00DF4948" w:rsidP="00C67145">
            <w:pPr>
              <w:rPr>
                <w:b/>
                <w:color w:val="000000"/>
              </w:rPr>
            </w:pPr>
            <w:r>
              <w:rPr>
                <w:b/>
                <w:color w:val="000000"/>
              </w:rPr>
              <w:t>Total interruption time</w:t>
            </w:r>
          </w:p>
        </w:tc>
        <w:tc>
          <w:tcPr>
            <w:tcW w:w="3543" w:type="dxa"/>
          </w:tcPr>
          <w:p w:rsidR="00DF4948" w:rsidRDefault="00DF4948" w:rsidP="00C67145">
            <w:pPr>
              <w:rPr>
                <w:color w:val="000000"/>
                <w:sz w:val="18"/>
              </w:rPr>
            </w:pPr>
            <w:r>
              <w:rPr>
                <w:color w:val="000000"/>
                <w:sz w:val="18"/>
              </w:rPr>
              <w:t xml:space="preserve">0ms interruption time for both UL and DL from L2 point of view. </w:t>
            </w:r>
          </w:p>
        </w:tc>
        <w:tc>
          <w:tcPr>
            <w:tcW w:w="4395" w:type="dxa"/>
          </w:tcPr>
          <w:p w:rsidR="00DF4948" w:rsidRDefault="00213241" w:rsidP="00213241">
            <w:pPr>
              <w:rPr>
                <w:color w:val="000000"/>
                <w:sz w:val="18"/>
              </w:rPr>
            </w:pPr>
            <w:r>
              <w:rPr>
                <w:color w:val="000000"/>
                <w:sz w:val="18"/>
              </w:rPr>
              <w:t>0ms interruption time for both UL and DL from L2 point of view.</w:t>
            </w:r>
          </w:p>
        </w:tc>
      </w:tr>
      <w:tr w:rsidR="00DF4948" w:rsidTr="00C67145">
        <w:tc>
          <w:tcPr>
            <w:tcW w:w="1668" w:type="dxa"/>
          </w:tcPr>
          <w:p w:rsidR="00DF4948" w:rsidRDefault="00DF4948" w:rsidP="00C67145">
            <w:pPr>
              <w:rPr>
                <w:b/>
                <w:color w:val="000000"/>
              </w:rPr>
            </w:pPr>
            <w:r>
              <w:rPr>
                <w:b/>
                <w:color w:val="000000"/>
              </w:rPr>
              <w:t xml:space="preserve">RF requirements </w:t>
            </w:r>
          </w:p>
        </w:tc>
        <w:tc>
          <w:tcPr>
            <w:tcW w:w="3543" w:type="dxa"/>
          </w:tcPr>
          <w:p w:rsidR="00DF4948" w:rsidRDefault="00DF4948" w:rsidP="00C67145">
            <w:pPr>
              <w:rPr>
                <w:color w:val="000000"/>
                <w:sz w:val="18"/>
              </w:rPr>
            </w:pPr>
            <w:r>
              <w:rPr>
                <w:color w:val="000000"/>
                <w:sz w:val="18"/>
              </w:rPr>
              <w:t xml:space="preserve">Dual </w:t>
            </w:r>
            <w:proofErr w:type="spellStart"/>
            <w:r>
              <w:rPr>
                <w:color w:val="000000"/>
                <w:sz w:val="18"/>
              </w:rPr>
              <w:t>Tx</w:t>
            </w:r>
            <w:proofErr w:type="spellEnd"/>
            <w:r>
              <w:rPr>
                <w:color w:val="000000"/>
                <w:sz w:val="18"/>
              </w:rPr>
              <w:t xml:space="preserve">/Rx chains should be supported by UE to achieve 0ms user plane interruption time; Single </w:t>
            </w:r>
            <w:proofErr w:type="spellStart"/>
            <w:r>
              <w:rPr>
                <w:color w:val="000000"/>
                <w:sz w:val="18"/>
              </w:rPr>
              <w:t>Tx</w:t>
            </w:r>
            <w:proofErr w:type="spellEnd"/>
            <w:r>
              <w:rPr>
                <w:color w:val="000000"/>
                <w:sz w:val="18"/>
              </w:rPr>
              <w:t>/Rx chains  may be close to 0ms</w:t>
            </w:r>
          </w:p>
        </w:tc>
        <w:tc>
          <w:tcPr>
            <w:tcW w:w="4395" w:type="dxa"/>
          </w:tcPr>
          <w:p w:rsidR="00DF4948" w:rsidRPr="000E57C9" w:rsidRDefault="00DF4948" w:rsidP="00C67145">
            <w:pPr>
              <w:rPr>
                <w:b/>
                <w:color w:val="000000"/>
                <w:sz w:val="18"/>
              </w:rPr>
            </w:pPr>
            <w:r>
              <w:rPr>
                <w:color w:val="000000"/>
                <w:sz w:val="18"/>
              </w:rPr>
              <w:t xml:space="preserve">Dual </w:t>
            </w:r>
            <w:proofErr w:type="spellStart"/>
            <w:r>
              <w:rPr>
                <w:color w:val="000000"/>
                <w:sz w:val="18"/>
              </w:rPr>
              <w:t>Tx</w:t>
            </w:r>
            <w:proofErr w:type="spellEnd"/>
            <w:r>
              <w:rPr>
                <w:color w:val="000000"/>
                <w:sz w:val="18"/>
              </w:rPr>
              <w:t xml:space="preserve">/Rx chains should be supported by UE to achieve 0ms user plane interruption time; Single </w:t>
            </w:r>
            <w:proofErr w:type="spellStart"/>
            <w:r>
              <w:rPr>
                <w:color w:val="000000"/>
                <w:sz w:val="18"/>
              </w:rPr>
              <w:t>Tx</w:t>
            </w:r>
            <w:proofErr w:type="spellEnd"/>
            <w:r>
              <w:rPr>
                <w:color w:val="000000"/>
                <w:sz w:val="18"/>
              </w:rPr>
              <w:t>/Rx chains  may be close to 0ms</w:t>
            </w:r>
          </w:p>
        </w:tc>
      </w:tr>
      <w:tr w:rsidR="00DF4948" w:rsidTr="00C67145">
        <w:tc>
          <w:tcPr>
            <w:tcW w:w="1668" w:type="dxa"/>
          </w:tcPr>
          <w:p w:rsidR="00DF4948" w:rsidRPr="00623E1D" w:rsidRDefault="00DF4948" w:rsidP="00C67145">
            <w:pPr>
              <w:rPr>
                <w:b/>
              </w:rPr>
            </w:pPr>
            <w:r w:rsidRPr="00623E1D">
              <w:rPr>
                <w:b/>
              </w:rPr>
              <w:t>Signaling overhead</w:t>
            </w:r>
          </w:p>
        </w:tc>
        <w:tc>
          <w:tcPr>
            <w:tcW w:w="3543" w:type="dxa"/>
          </w:tcPr>
          <w:p w:rsidR="00DF4948" w:rsidRDefault="00DF4948" w:rsidP="00C67145">
            <w:r>
              <w:t>to introduce role switch procedure during HO</w:t>
            </w:r>
          </w:p>
        </w:tc>
        <w:tc>
          <w:tcPr>
            <w:tcW w:w="4395" w:type="dxa"/>
          </w:tcPr>
          <w:p w:rsidR="00DF4948" w:rsidRDefault="00DF4948" w:rsidP="00C67145">
            <w:r>
              <w:t>Low complexity of overall signaling,</w:t>
            </w:r>
            <w:r>
              <w:rPr>
                <w:color w:val="000000"/>
                <w:sz w:val="18"/>
              </w:rPr>
              <w:t xml:space="preserve"> UE follows most of the legacy HO procedure, with minor indication.</w:t>
            </w:r>
          </w:p>
        </w:tc>
      </w:tr>
      <w:tr w:rsidR="00DF4948" w:rsidTr="00C67145">
        <w:tc>
          <w:tcPr>
            <w:tcW w:w="1668" w:type="dxa"/>
          </w:tcPr>
          <w:p w:rsidR="00DF4948" w:rsidRDefault="00DF4948" w:rsidP="00C67145">
            <w:pPr>
              <w:rPr>
                <w:b/>
                <w:color w:val="000000"/>
              </w:rPr>
            </w:pPr>
            <w:r>
              <w:rPr>
                <w:b/>
                <w:color w:val="000000"/>
              </w:rPr>
              <w:t>Protocol stacks  Complexity</w:t>
            </w:r>
          </w:p>
        </w:tc>
        <w:tc>
          <w:tcPr>
            <w:tcW w:w="3543" w:type="dxa"/>
          </w:tcPr>
          <w:p w:rsidR="00DF4948" w:rsidRDefault="00DF4948" w:rsidP="00C67145">
            <w:pPr>
              <w:rPr>
                <w:color w:val="000000"/>
                <w:sz w:val="18"/>
              </w:rPr>
            </w:pPr>
            <w:r>
              <w:rPr>
                <w:color w:val="000000"/>
                <w:sz w:val="18"/>
              </w:rPr>
              <w:t xml:space="preserve">Split bearer defined in intra-NR DC can be basically re-used. And an indication to differentiate the security context is needed in PDCP. </w:t>
            </w:r>
          </w:p>
        </w:tc>
        <w:tc>
          <w:tcPr>
            <w:tcW w:w="4395" w:type="dxa"/>
          </w:tcPr>
          <w:p w:rsidR="00DF4948" w:rsidRDefault="00DF4948" w:rsidP="00C67145">
            <w:pPr>
              <w:rPr>
                <w:color w:val="000000"/>
                <w:sz w:val="18"/>
              </w:rPr>
            </w:pPr>
            <w:r>
              <w:rPr>
                <w:color w:val="000000"/>
                <w:sz w:val="18"/>
              </w:rPr>
              <w:t xml:space="preserve">UE shall keep two sets of protocol stacks (for SRB, DRB) for source </w:t>
            </w:r>
            <w:proofErr w:type="spellStart"/>
            <w:r>
              <w:rPr>
                <w:color w:val="000000"/>
                <w:sz w:val="18"/>
              </w:rPr>
              <w:t>gNB</w:t>
            </w:r>
            <w:proofErr w:type="spellEnd"/>
            <w:r>
              <w:rPr>
                <w:color w:val="000000"/>
                <w:sz w:val="18"/>
              </w:rPr>
              <w:t xml:space="preserve"> and target </w:t>
            </w:r>
            <w:proofErr w:type="spellStart"/>
            <w:r>
              <w:rPr>
                <w:color w:val="000000"/>
                <w:sz w:val="18"/>
              </w:rPr>
              <w:t>gNB</w:t>
            </w:r>
            <w:proofErr w:type="spellEnd"/>
            <w:r>
              <w:rPr>
                <w:color w:val="000000"/>
                <w:sz w:val="18"/>
              </w:rPr>
              <w:t xml:space="preserve"> respectively. The PDCP layer further splits into two separated (de)compression and (de)ciphering functionality and a unified SN assignment and reordering / duplication detection functionality.</w:t>
            </w:r>
          </w:p>
        </w:tc>
      </w:tr>
      <w:tr w:rsidR="00DF4948" w:rsidTr="00C67145">
        <w:tc>
          <w:tcPr>
            <w:tcW w:w="1668" w:type="dxa"/>
          </w:tcPr>
          <w:p w:rsidR="00DF4948" w:rsidRDefault="00DF4948" w:rsidP="00C67145">
            <w:pPr>
              <w:rPr>
                <w:b/>
                <w:color w:val="000000"/>
              </w:rPr>
            </w:pPr>
            <w:r>
              <w:rPr>
                <w:b/>
                <w:color w:val="000000"/>
              </w:rPr>
              <w:t>UE Complexity</w:t>
            </w:r>
          </w:p>
        </w:tc>
        <w:tc>
          <w:tcPr>
            <w:tcW w:w="3543" w:type="dxa"/>
          </w:tcPr>
          <w:p w:rsidR="00DF4948" w:rsidRDefault="00DF4948" w:rsidP="00C67145">
            <w:pPr>
              <w:rPr>
                <w:color w:val="000000"/>
                <w:sz w:val="18"/>
              </w:rPr>
            </w:pPr>
            <w:r>
              <w:rPr>
                <w:color w:val="000000"/>
                <w:sz w:val="18"/>
              </w:rPr>
              <w:t>Support of Split bearer function. And the PDCP needs to keep two security keys and two ROHC contexts in a certain period. For the control plane, UE follows most of the DC procedure.</w:t>
            </w:r>
          </w:p>
        </w:tc>
        <w:tc>
          <w:tcPr>
            <w:tcW w:w="4395" w:type="dxa"/>
          </w:tcPr>
          <w:p w:rsidR="00DF4948" w:rsidRDefault="00DF4948" w:rsidP="00C67145">
            <w:pPr>
              <w:rPr>
                <w:color w:val="000000"/>
                <w:sz w:val="18"/>
              </w:rPr>
            </w:pPr>
            <w:r>
              <w:rPr>
                <w:color w:val="000000"/>
                <w:sz w:val="18"/>
              </w:rPr>
              <w:t>UE shall be able to maintain two sets of keys and ROHC profiles. For the control plane, UE follows most of the legacy HO procedure.</w:t>
            </w:r>
          </w:p>
        </w:tc>
      </w:tr>
      <w:tr w:rsidR="00DF4948" w:rsidTr="00C67145">
        <w:tc>
          <w:tcPr>
            <w:tcW w:w="1668" w:type="dxa"/>
          </w:tcPr>
          <w:p w:rsidR="00DF4948" w:rsidRDefault="00DF4948" w:rsidP="00C67145">
            <w:pPr>
              <w:rPr>
                <w:b/>
                <w:color w:val="000000"/>
              </w:rPr>
            </w:pPr>
            <w:r>
              <w:rPr>
                <w:b/>
                <w:color w:val="000000"/>
              </w:rPr>
              <w:t>NW Complexity</w:t>
            </w:r>
          </w:p>
        </w:tc>
        <w:tc>
          <w:tcPr>
            <w:tcW w:w="3543" w:type="dxa"/>
          </w:tcPr>
          <w:p w:rsidR="00DF4948" w:rsidRDefault="00DF4948" w:rsidP="00C67145">
            <w:pPr>
              <w:rPr>
                <w:color w:val="000000"/>
                <w:sz w:val="18"/>
              </w:rPr>
            </w:pPr>
            <w:r>
              <w:rPr>
                <w:color w:val="000000"/>
                <w:sz w:val="18"/>
              </w:rPr>
              <w:t>Supp</w:t>
            </w:r>
            <w:r w:rsidR="00213241">
              <w:rPr>
                <w:color w:val="000000"/>
                <w:sz w:val="18"/>
              </w:rPr>
              <w:t xml:space="preserve">ort of Split bearer function. </w:t>
            </w:r>
            <w:proofErr w:type="spellStart"/>
            <w:proofErr w:type="gramStart"/>
            <w:r w:rsidR="00213241">
              <w:rPr>
                <w:color w:val="000000"/>
                <w:sz w:val="18"/>
              </w:rPr>
              <w:t>l</w:t>
            </w:r>
            <w:r>
              <w:rPr>
                <w:color w:val="000000"/>
                <w:sz w:val="18"/>
              </w:rPr>
              <w:t>t</w:t>
            </w:r>
            <w:r w:rsidR="00213241">
              <w:rPr>
                <w:color w:val="000000"/>
                <w:sz w:val="18"/>
              </w:rPr>
              <w:t>s</w:t>
            </w:r>
            <w:proofErr w:type="spellEnd"/>
            <w:proofErr w:type="gramEnd"/>
            <w:r>
              <w:rPr>
                <w:color w:val="000000"/>
                <w:sz w:val="18"/>
              </w:rPr>
              <w:t xml:space="preserve"> bearer defined in intra-NR DC can be basically re-used, where two GTP tunnels are required to reduce the downlink interruption due to data forwarding.</w:t>
            </w:r>
          </w:p>
        </w:tc>
        <w:tc>
          <w:tcPr>
            <w:tcW w:w="4395" w:type="dxa"/>
          </w:tcPr>
          <w:p w:rsidR="00DF4948" w:rsidRDefault="00DF4948" w:rsidP="00C67145">
            <w:pPr>
              <w:rPr>
                <w:rFonts w:eastAsia="Malgun Gothic"/>
                <w:bCs/>
                <w:sz w:val="18"/>
                <w:lang w:eastAsia="ko-KR"/>
              </w:rPr>
            </w:pPr>
            <w:r>
              <w:rPr>
                <w:color w:val="000000"/>
                <w:sz w:val="18"/>
              </w:rPr>
              <w:t xml:space="preserve">To enable the source </w:t>
            </w:r>
            <w:proofErr w:type="spellStart"/>
            <w:r>
              <w:rPr>
                <w:color w:val="000000"/>
                <w:sz w:val="18"/>
              </w:rPr>
              <w:t>gNB</w:t>
            </w:r>
            <w:proofErr w:type="spellEnd"/>
            <w:r>
              <w:rPr>
                <w:color w:val="000000"/>
                <w:sz w:val="18"/>
              </w:rPr>
              <w:t xml:space="preserve"> continue data transmission/reception upon the handover command,</w:t>
            </w:r>
            <w:r>
              <w:rPr>
                <w:rFonts w:eastAsia="Malgun Gothic"/>
                <w:bCs/>
                <w:sz w:val="18"/>
                <w:lang w:eastAsia="ko-KR"/>
              </w:rPr>
              <w:t xml:space="preserve"> until the target </w:t>
            </w:r>
            <w:proofErr w:type="spellStart"/>
            <w:r>
              <w:rPr>
                <w:rFonts w:eastAsia="Malgun Gothic"/>
                <w:bCs/>
                <w:sz w:val="18"/>
                <w:lang w:eastAsia="ko-KR"/>
              </w:rPr>
              <w:t>gNB</w:t>
            </w:r>
            <w:proofErr w:type="spellEnd"/>
            <w:r>
              <w:rPr>
                <w:rFonts w:eastAsia="Malgun Gothic"/>
                <w:bCs/>
                <w:sz w:val="18"/>
                <w:lang w:eastAsia="ko-KR"/>
              </w:rPr>
              <w:t xml:space="preserve"> is ready;</w:t>
            </w:r>
          </w:p>
          <w:p w:rsidR="00DF4948" w:rsidRDefault="00DF4948" w:rsidP="00C67145">
            <w:pPr>
              <w:rPr>
                <w:color w:val="000000"/>
                <w:sz w:val="18"/>
              </w:rPr>
            </w:pPr>
            <w:r>
              <w:rPr>
                <w:color w:val="000000"/>
                <w:sz w:val="18"/>
              </w:rPr>
              <w:t xml:space="preserve">Impact on the data forwarding on </w:t>
            </w:r>
            <w:proofErr w:type="spellStart"/>
            <w:r>
              <w:rPr>
                <w:color w:val="000000"/>
                <w:sz w:val="18"/>
              </w:rPr>
              <w:t>Xn</w:t>
            </w:r>
            <w:proofErr w:type="spellEnd"/>
            <w:r>
              <w:rPr>
                <w:color w:val="000000"/>
                <w:sz w:val="18"/>
              </w:rPr>
              <w:t xml:space="preserve"> interface.</w:t>
            </w:r>
          </w:p>
        </w:tc>
      </w:tr>
      <w:tr w:rsidR="00DF4948" w:rsidTr="00C67145">
        <w:tc>
          <w:tcPr>
            <w:tcW w:w="1668" w:type="dxa"/>
          </w:tcPr>
          <w:p w:rsidR="00DF4948" w:rsidRDefault="00DF4948" w:rsidP="00C67145">
            <w:pPr>
              <w:rPr>
                <w:b/>
                <w:color w:val="000000"/>
              </w:rPr>
            </w:pPr>
            <w:r>
              <w:rPr>
                <w:b/>
                <w:color w:val="000000"/>
              </w:rPr>
              <w:t>Security  Complexity</w:t>
            </w:r>
          </w:p>
        </w:tc>
        <w:tc>
          <w:tcPr>
            <w:tcW w:w="3543" w:type="dxa"/>
          </w:tcPr>
          <w:p w:rsidR="00DF4948" w:rsidRDefault="00DF4948" w:rsidP="00C67145">
            <w:pPr>
              <w:rPr>
                <w:rFonts w:cs="Arial"/>
                <w:sz w:val="18"/>
              </w:rPr>
            </w:pPr>
            <w:r>
              <w:rPr>
                <w:rFonts w:cs="Arial"/>
                <w:sz w:val="18"/>
              </w:rPr>
              <w:t xml:space="preserve">One security key needs to be maintained as in DC. </w:t>
            </w:r>
          </w:p>
          <w:p w:rsidR="00DF4948" w:rsidRDefault="00DF4948" w:rsidP="00C67145">
            <w:pPr>
              <w:rPr>
                <w:color w:val="000000"/>
                <w:sz w:val="18"/>
              </w:rPr>
            </w:pPr>
            <w:r>
              <w:rPr>
                <w:color w:val="000000"/>
                <w:sz w:val="18"/>
              </w:rPr>
              <w:t>And there may be security key ambiguity issue during the role change for the UE.</w:t>
            </w:r>
          </w:p>
        </w:tc>
        <w:tc>
          <w:tcPr>
            <w:tcW w:w="4395" w:type="dxa"/>
          </w:tcPr>
          <w:p w:rsidR="00DF4948" w:rsidRDefault="00DF4948" w:rsidP="00C67145">
            <w:pPr>
              <w:rPr>
                <w:color w:val="000000"/>
                <w:sz w:val="18"/>
              </w:rPr>
            </w:pPr>
            <w:r>
              <w:rPr>
                <w:color w:val="000000"/>
                <w:sz w:val="18"/>
              </w:rPr>
              <w:t xml:space="preserve">Two sets of keys </w:t>
            </w:r>
            <w:r>
              <w:rPr>
                <w:rFonts w:cs="Arial"/>
                <w:sz w:val="18"/>
              </w:rPr>
              <w:t>need to be maintained</w:t>
            </w:r>
            <w:r>
              <w:rPr>
                <w:sz w:val="18"/>
              </w:rPr>
              <w:t xml:space="preserve"> </w:t>
            </w:r>
            <w:r>
              <w:rPr>
                <w:color w:val="000000"/>
                <w:sz w:val="18"/>
              </w:rPr>
              <w:t xml:space="preserve">at the UE side, one for source </w:t>
            </w:r>
            <w:proofErr w:type="spellStart"/>
            <w:r>
              <w:rPr>
                <w:color w:val="000000"/>
                <w:sz w:val="18"/>
              </w:rPr>
              <w:t>gNB</w:t>
            </w:r>
            <w:proofErr w:type="spellEnd"/>
            <w:r>
              <w:rPr>
                <w:color w:val="000000"/>
                <w:sz w:val="18"/>
              </w:rPr>
              <w:t xml:space="preserve"> and the other for target </w:t>
            </w:r>
            <w:proofErr w:type="spellStart"/>
            <w:r>
              <w:rPr>
                <w:color w:val="000000"/>
                <w:sz w:val="18"/>
              </w:rPr>
              <w:t>gNB</w:t>
            </w:r>
            <w:proofErr w:type="spellEnd"/>
            <w:r>
              <w:rPr>
                <w:color w:val="000000"/>
                <w:sz w:val="18"/>
              </w:rPr>
              <w:t>.</w:t>
            </w:r>
          </w:p>
        </w:tc>
      </w:tr>
      <w:tr w:rsidR="00DF4948" w:rsidTr="00C67145">
        <w:tc>
          <w:tcPr>
            <w:tcW w:w="1668" w:type="dxa"/>
          </w:tcPr>
          <w:p w:rsidR="00DF4948" w:rsidRDefault="00DF4948" w:rsidP="00C67145">
            <w:pPr>
              <w:rPr>
                <w:rFonts w:eastAsia="宋体"/>
                <w:b/>
                <w:color w:val="000000"/>
              </w:rPr>
            </w:pPr>
            <w:r>
              <w:rPr>
                <w:rFonts w:eastAsia="宋体" w:hint="eastAsia"/>
                <w:b/>
                <w:color w:val="000000"/>
              </w:rPr>
              <w:t xml:space="preserve">PDCP </w:t>
            </w:r>
            <w:r>
              <w:rPr>
                <w:rFonts w:eastAsia="宋体"/>
                <w:b/>
                <w:color w:val="000000"/>
              </w:rPr>
              <w:t>Function Complexity</w:t>
            </w:r>
          </w:p>
        </w:tc>
        <w:tc>
          <w:tcPr>
            <w:tcW w:w="3543" w:type="dxa"/>
          </w:tcPr>
          <w:p w:rsidR="00DF4948" w:rsidRDefault="00DF4948" w:rsidP="00C67145">
            <w:pPr>
              <w:rPr>
                <w:rFonts w:cs="Arial"/>
                <w:sz w:val="18"/>
              </w:rPr>
            </w:pPr>
            <w:r>
              <w:rPr>
                <w:rFonts w:cs="Arial"/>
                <w:sz w:val="18"/>
              </w:rPr>
              <w:t xml:space="preserve">The PDCP reordering function in the source </w:t>
            </w:r>
            <w:proofErr w:type="spellStart"/>
            <w:r>
              <w:rPr>
                <w:rFonts w:cs="Arial"/>
                <w:sz w:val="18"/>
              </w:rPr>
              <w:t>gNB</w:t>
            </w:r>
            <w:proofErr w:type="spellEnd"/>
            <w:r>
              <w:rPr>
                <w:rFonts w:cs="Arial"/>
                <w:sz w:val="18"/>
              </w:rPr>
              <w:t xml:space="preserve"> is used to reorder PDCP PDUs from both source </w:t>
            </w:r>
            <w:proofErr w:type="spellStart"/>
            <w:r>
              <w:rPr>
                <w:rFonts w:cs="Arial"/>
                <w:sz w:val="18"/>
              </w:rPr>
              <w:t>gNB</w:t>
            </w:r>
            <w:proofErr w:type="spellEnd"/>
            <w:r>
              <w:rPr>
                <w:rFonts w:cs="Arial"/>
                <w:sz w:val="18"/>
              </w:rPr>
              <w:t xml:space="preserve"> and target </w:t>
            </w:r>
            <w:proofErr w:type="spellStart"/>
            <w:r>
              <w:rPr>
                <w:rFonts w:cs="Arial"/>
                <w:sz w:val="18"/>
              </w:rPr>
              <w:t>gNB</w:t>
            </w:r>
            <w:proofErr w:type="spellEnd"/>
            <w:r>
              <w:rPr>
                <w:rFonts w:cs="Arial"/>
                <w:sz w:val="18"/>
              </w:rPr>
              <w:t>.</w:t>
            </w:r>
          </w:p>
          <w:p w:rsidR="00DF4948" w:rsidRDefault="00DF4948" w:rsidP="00C67145">
            <w:pPr>
              <w:rPr>
                <w:rFonts w:cs="Arial"/>
                <w:sz w:val="18"/>
              </w:rPr>
            </w:pPr>
            <w:r>
              <w:rPr>
                <w:rFonts w:cs="Arial"/>
                <w:sz w:val="18"/>
              </w:rPr>
              <w:t xml:space="preserve">The enhancement for the </w:t>
            </w:r>
            <w:r>
              <w:rPr>
                <w:rFonts w:eastAsia="宋体" w:cs="Arial"/>
                <w:sz w:val="18"/>
              </w:rPr>
              <w:t>PDCP relocation is needed.</w:t>
            </w:r>
          </w:p>
        </w:tc>
        <w:tc>
          <w:tcPr>
            <w:tcW w:w="4395" w:type="dxa"/>
          </w:tcPr>
          <w:p w:rsidR="00DF4948" w:rsidRDefault="00DF4948" w:rsidP="00C67145">
            <w:pPr>
              <w:rPr>
                <w:color w:val="000000"/>
                <w:sz w:val="18"/>
              </w:rPr>
            </w:pPr>
            <w:r>
              <w:rPr>
                <w:color w:val="000000"/>
                <w:sz w:val="18"/>
              </w:rPr>
              <w:t xml:space="preserve">A tentative PDCP reordering function is used to reorder PDCP PDUs delivered from the PDCP entities in both source </w:t>
            </w:r>
            <w:proofErr w:type="spellStart"/>
            <w:r>
              <w:rPr>
                <w:color w:val="000000"/>
                <w:sz w:val="18"/>
              </w:rPr>
              <w:t>gNB</w:t>
            </w:r>
            <w:proofErr w:type="spellEnd"/>
            <w:r>
              <w:rPr>
                <w:color w:val="000000"/>
                <w:sz w:val="18"/>
              </w:rPr>
              <w:t xml:space="preserve"> and target </w:t>
            </w:r>
            <w:proofErr w:type="spellStart"/>
            <w:r>
              <w:rPr>
                <w:color w:val="000000"/>
                <w:sz w:val="18"/>
              </w:rPr>
              <w:t>gNB</w:t>
            </w:r>
            <w:proofErr w:type="spellEnd"/>
            <w:r>
              <w:rPr>
                <w:color w:val="000000"/>
                <w:sz w:val="18"/>
              </w:rPr>
              <w:t>;</w:t>
            </w:r>
          </w:p>
          <w:p w:rsidR="00DF4948" w:rsidRDefault="00DF4948" w:rsidP="00C67145">
            <w:pPr>
              <w:rPr>
                <w:color w:val="000000"/>
                <w:sz w:val="18"/>
              </w:rPr>
            </w:pPr>
            <w:r>
              <w:rPr>
                <w:color w:val="000000"/>
                <w:sz w:val="18"/>
              </w:rPr>
              <w:t>This option doesn’t need UP protocol reset for PDCP relocation at the network side.</w:t>
            </w:r>
          </w:p>
        </w:tc>
      </w:tr>
      <w:tr w:rsidR="00DF4948" w:rsidTr="00C67145">
        <w:tc>
          <w:tcPr>
            <w:tcW w:w="1668" w:type="dxa"/>
          </w:tcPr>
          <w:p w:rsidR="00DF4948" w:rsidRDefault="00DF4948" w:rsidP="00C67145">
            <w:pPr>
              <w:rPr>
                <w:b/>
                <w:color w:val="000000"/>
              </w:rPr>
            </w:pPr>
            <w:r>
              <w:rPr>
                <w:b/>
                <w:color w:val="000000"/>
              </w:rPr>
              <w:t>Applicable deployment scenarios</w:t>
            </w:r>
          </w:p>
        </w:tc>
        <w:tc>
          <w:tcPr>
            <w:tcW w:w="3543" w:type="dxa"/>
          </w:tcPr>
          <w:p w:rsidR="00DF4948" w:rsidRDefault="00DF4948" w:rsidP="00C67145">
            <w:pPr>
              <w:rPr>
                <w:color w:val="000000"/>
                <w:sz w:val="18"/>
              </w:rPr>
            </w:pPr>
            <w:r>
              <w:rPr>
                <w:color w:val="000000"/>
                <w:sz w:val="18"/>
              </w:rPr>
              <w:t xml:space="preserve">The intra-NR DC deployed scenarios </w:t>
            </w:r>
          </w:p>
        </w:tc>
        <w:tc>
          <w:tcPr>
            <w:tcW w:w="4395" w:type="dxa"/>
          </w:tcPr>
          <w:p w:rsidR="00DF4948" w:rsidRDefault="00DF4948" w:rsidP="00C67145">
            <w:pPr>
              <w:rPr>
                <w:color w:val="000000"/>
                <w:sz w:val="18"/>
              </w:rPr>
            </w:pPr>
            <w:r>
              <w:rPr>
                <w:color w:val="000000"/>
                <w:sz w:val="18"/>
              </w:rPr>
              <w:t xml:space="preserve">The </w:t>
            </w:r>
            <w:proofErr w:type="spellStart"/>
            <w:r>
              <w:rPr>
                <w:color w:val="000000"/>
                <w:sz w:val="18"/>
              </w:rPr>
              <w:t>eMBB</w:t>
            </w:r>
            <w:proofErr w:type="spellEnd"/>
            <w:r>
              <w:rPr>
                <w:color w:val="000000"/>
                <w:sz w:val="18"/>
              </w:rPr>
              <w:t xml:space="preserve"> solution is more applicable for LTE, since LTE has not deploy the Dual Connectivity.</w:t>
            </w:r>
          </w:p>
        </w:tc>
      </w:tr>
      <w:tr w:rsidR="00DF4948" w:rsidTr="00C67145">
        <w:tc>
          <w:tcPr>
            <w:tcW w:w="1668" w:type="dxa"/>
          </w:tcPr>
          <w:p w:rsidR="00DF4948" w:rsidRDefault="00DF4948" w:rsidP="00C67145">
            <w:pPr>
              <w:rPr>
                <w:b/>
                <w:color w:val="000000"/>
              </w:rPr>
            </w:pPr>
            <w:r>
              <w:rPr>
                <w:b/>
                <w:color w:val="000000"/>
              </w:rPr>
              <w:t xml:space="preserve">Necessity of simultaneous RLM </w:t>
            </w:r>
          </w:p>
        </w:tc>
        <w:tc>
          <w:tcPr>
            <w:tcW w:w="3543" w:type="dxa"/>
          </w:tcPr>
          <w:p w:rsidR="00DF4948" w:rsidRDefault="00DF4948" w:rsidP="00C67145">
            <w:pPr>
              <w:rPr>
                <w:color w:val="000000"/>
                <w:sz w:val="18"/>
              </w:rPr>
            </w:pPr>
            <w:r>
              <w:rPr>
                <w:color w:val="000000"/>
                <w:sz w:val="18"/>
              </w:rPr>
              <w:t>The RLM procedures defined in intra-NR DC can be reused.</w:t>
            </w:r>
          </w:p>
        </w:tc>
        <w:tc>
          <w:tcPr>
            <w:tcW w:w="4395" w:type="dxa"/>
          </w:tcPr>
          <w:p w:rsidR="00DF4948" w:rsidRDefault="00DF4948" w:rsidP="00C67145">
            <w:pPr>
              <w:rPr>
                <w:color w:val="000000"/>
                <w:sz w:val="18"/>
              </w:rPr>
            </w:pPr>
            <w:r>
              <w:rPr>
                <w:color w:val="000000"/>
                <w:sz w:val="18"/>
              </w:rPr>
              <w:t>The simultaneous RLM is not required for simultaneous connectivity.  RLM should be either based on target once the UE has camp on target cell or UE perform RLM on both links and declare RLF only when both links are RLF.</w:t>
            </w:r>
          </w:p>
        </w:tc>
      </w:tr>
    </w:tbl>
    <w:p w:rsidR="00434006" w:rsidRDefault="00434006">
      <w:pPr>
        <w:rPr>
          <w:rFonts w:cs="Arial"/>
          <w:b/>
        </w:rPr>
      </w:pPr>
      <w:bookmarkStart w:id="0" w:name="_GoBack"/>
      <w:bookmarkEnd w:id="0"/>
    </w:p>
    <w:p w:rsidR="00156C4C" w:rsidRDefault="00156C4C">
      <w:pPr>
        <w:pStyle w:val="Reference"/>
        <w:numPr>
          <w:ilvl w:val="0"/>
          <w:numId w:val="0"/>
        </w:numPr>
        <w:tabs>
          <w:tab w:val="clear" w:pos="567"/>
        </w:tabs>
        <w:rPr>
          <w:rFonts w:ascii="Times New Roman" w:hAnsi="Times New Roman"/>
        </w:rPr>
      </w:pPr>
      <w:bookmarkStart w:id="1" w:name="_In-sequence_SDU_delivery"/>
      <w:bookmarkEnd w:id="1"/>
    </w:p>
    <w:sectPr w:rsidR="00156C4C">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803" w:rsidRDefault="00A26803">
      <w:pPr>
        <w:spacing w:after="0"/>
      </w:pPr>
      <w:r>
        <w:separator/>
      </w:r>
    </w:p>
  </w:endnote>
  <w:endnote w:type="continuationSeparator" w:id="0">
    <w:p w:rsidR="00A26803" w:rsidRDefault="00A26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pPr>
      <w:pStyle w:val="ac"/>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635AAC">
      <w:rPr>
        <w:rStyle w:val="af1"/>
        <w:noProof/>
      </w:rPr>
      <w:t>5</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635AAC">
      <w:rPr>
        <w:rStyle w:val="af1"/>
        <w:noProof/>
      </w:rPr>
      <w:t>5</w:t>
    </w:r>
    <w:r>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803" w:rsidRDefault="00A26803">
      <w:pPr>
        <w:spacing w:after="0"/>
      </w:pPr>
      <w:r>
        <w:separator/>
      </w:r>
    </w:p>
  </w:footnote>
  <w:footnote w:type="continuationSeparator" w:id="0">
    <w:p w:rsidR="00A26803" w:rsidRDefault="00A268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13"/>
  </w:num>
  <w:num w:numId="4">
    <w:abstractNumId w:val="10"/>
  </w:num>
  <w:num w:numId="5">
    <w:abstractNumId w:val="6"/>
  </w:num>
  <w:num w:numId="6">
    <w:abstractNumId w:val="9"/>
  </w:num>
  <w:num w:numId="7">
    <w:abstractNumId w:val="11"/>
  </w:num>
  <w:num w:numId="8">
    <w:abstractNumId w:val="8"/>
  </w:num>
  <w:num w:numId="9">
    <w:abstractNumId w:val="12"/>
  </w:num>
  <w:num w:numId="10">
    <w:abstractNumId w:val="4"/>
  </w:num>
  <w:num w:numId="11">
    <w:abstractNumId w:val="3"/>
  </w:num>
  <w:num w:numId="12">
    <w:abstractNumId w:val="2"/>
  </w:num>
  <w:num w:numId="13">
    <w:abstractNumId w:val="1"/>
  </w:num>
  <w:num w:numId="14">
    <w:abstractNumId w:val="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bordersDoNotSurroundHeader/>
  <w:bordersDoNotSurroundFooter/>
  <w:proofState w:spelling="clean" w:grammar="clean"/>
  <w:attachedTemplate r:id="rId1"/>
  <w:doNotTrackMoves/>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1063"/>
    <w:rsid w:val="000006E1"/>
    <w:rsid w:val="000007ED"/>
    <w:rsid w:val="00002A37"/>
    <w:rsid w:val="00003883"/>
    <w:rsid w:val="000039F4"/>
    <w:rsid w:val="00006446"/>
    <w:rsid w:val="00006896"/>
    <w:rsid w:val="00007CDC"/>
    <w:rsid w:val="000118F5"/>
    <w:rsid w:val="00011B28"/>
    <w:rsid w:val="000134A1"/>
    <w:rsid w:val="000151AE"/>
    <w:rsid w:val="00015D15"/>
    <w:rsid w:val="0002161D"/>
    <w:rsid w:val="000217A0"/>
    <w:rsid w:val="00023308"/>
    <w:rsid w:val="0002564D"/>
    <w:rsid w:val="00025ECA"/>
    <w:rsid w:val="00027684"/>
    <w:rsid w:val="000325B8"/>
    <w:rsid w:val="00032AC9"/>
    <w:rsid w:val="00033C08"/>
    <w:rsid w:val="000342F7"/>
    <w:rsid w:val="00034C15"/>
    <w:rsid w:val="00036BA1"/>
    <w:rsid w:val="00037966"/>
    <w:rsid w:val="000422E2"/>
    <w:rsid w:val="00042F22"/>
    <w:rsid w:val="000435BC"/>
    <w:rsid w:val="000444EF"/>
    <w:rsid w:val="00044C53"/>
    <w:rsid w:val="00047D7D"/>
    <w:rsid w:val="00051553"/>
    <w:rsid w:val="00052A07"/>
    <w:rsid w:val="000534E3"/>
    <w:rsid w:val="000548B0"/>
    <w:rsid w:val="0005606A"/>
    <w:rsid w:val="00057117"/>
    <w:rsid w:val="000616E7"/>
    <w:rsid w:val="00061E9E"/>
    <w:rsid w:val="0006487E"/>
    <w:rsid w:val="00065417"/>
    <w:rsid w:val="00065E1A"/>
    <w:rsid w:val="00073A7A"/>
    <w:rsid w:val="00075A05"/>
    <w:rsid w:val="00077E5F"/>
    <w:rsid w:val="0008036A"/>
    <w:rsid w:val="00081AE6"/>
    <w:rsid w:val="00082A75"/>
    <w:rsid w:val="000855EB"/>
    <w:rsid w:val="00085B52"/>
    <w:rsid w:val="000866F2"/>
    <w:rsid w:val="0009009F"/>
    <w:rsid w:val="00091557"/>
    <w:rsid w:val="000924C1"/>
    <w:rsid w:val="000924F0"/>
    <w:rsid w:val="00093474"/>
    <w:rsid w:val="0009510F"/>
    <w:rsid w:val="000A1B7B"/>
    <w:rsid w:val="000A1E8D"/>
    <w:rsid w:val="000A53D5"/>
    <w:rsid w:val="000A56F2"/>
    <w:rsid w:val="000A5821"/>
    <w:rsid w:val="000B03D0"/>
    <w:rsid w:val="000B0762"/>
    <w:rsid w:val="000B2719"/>
    <w:rsid w:val="000B3A8F"/>
    <w:rsid w:val="000B4AB9"/>
    <w:rsid w:val="000B58C3"/>
    <w:rsid w:val="000B61E9"/>
    <w:rsid w:val="000C165A"/>
    <w:rsid w:val="000C22CA"/>
    <w:rsid w:val="000C2E19"/>
    <w:rsid w:val="000C381B"/>
    <w:rsid w:val="000D0D07"/>
    <w:rsid w:val="000D1622"/>
    <w:rsid w:val="000D2CF6"/>
    <w:rsid w:val="000D4797"/>
    <w:rsid w:val="000D6413"/>
    <w:rsid w:val="000D7B3F"/>
    <w:rsid w:val="000E0527"/>
    <w:rsid w:val="000E1E92"/>
    <w:rsid w:val="000E2295"/>
    <w:rsid w:val="000E40DF"/>
    <w:rsid w:val="000E57C9"/>
    <w:rsid w:val="000E6ECE"/>
    <w:rsid w:val="000F06D6"/>
    <w:rsid w:val="000F0EB1"/>
    <w:rsid w:val="000F1106"/>
    <w:rsid w:val="000F3BE9"/>
    <w:rsid w:val="000F3F6C"/>
    <w:rsid w:val="000F5687"/>
    <w:rsid w:val="000F6DF3"/>
    <w:rsid w:val="001005FF"/>
    <w:rsid w:val="00100B00"/>
    <w:rsid w:val="00102312"/>
    <w:rsid w:val="00103841"/>
    <w:rsid w:val="001062FB"/>
    <w:rsid w:val="001063E6"/>
    <w:rsid w:val="0011208B"/>
    <w:rsid w:val="00113CF4"/>
    <w:rsid w:val="001153EA"/>
    <w:rsid w:val="00115643"/>
    <w:rsid w:val="0011566A"/>
    <w:rsid w:val="0011647D"/>
    <w:rsid w:val="00116765"/>
    <w:rsid w:val="00116B1B"/>
    <w:rsid w:val="001219F5"/>
    <w:rsid w:val="00121A20"/>
    <w:rsid w:val="00121ED4"/>
    <w:rsid w:val="00122897"/>
    <w:rsid w:val="0012377F"/>
    <w:rsid w:val="00124314"/>
    <w:rsid w:val="00126B4A"/>
    <w:rsid w:val="00132FD0"/>
    <w:rsid w:val="001344C0"/>
    <w:rsid w:val="001346FA"/>
    <w:rsid w:val="00135252"/>
    <w:rsid w:val="0013556B"/>
    <w:rsid w:val="00137AB5"/>
    <w:rsid w:val="00137F0B"/>
    <w:rsid w:val="00142AA5"/>
    <w:rsid w:val="001433E0"/>
    <w:rsid w:val="0014605A"/>
    <w:rsid w:val="001467CF"/>
    <w:rsid w:val="00146D02"/>
    <w:rsid w:val="00151634"/>
    <w:rsid w:val="00151C6F"/>
    <w:rsid w:val="00151E23"/>
    <w:rsid w:val="001526E0"/>
    <w:rsid w:val="00154D00"/>
    <w:rsid w:val="001551B5"/>
    <w:rsid w:val="00155A1B"/>
    <w:rsid w:val="00156C4C"/>
    <w:rsid w:val="001659C1"/>
    <w:rsid w:val="0017105C"/>
    <w:rsid w:val="001710F5"/>
    <w:rsid w:val="001727B5"/>
    <w:rsid w:val="0017350A"/>
    <w:rsid w:val="00173A8E"/>
    <w:rsid w:val="00177795"/>
    <w:rsid w:val="00177ECF"/>
    <w:rsid w:val="0018143F"/>
    <w:rsid w:val="001838EB"/>
    <w:rsid w:val="00190AC1"/>
    <w:rsid w:val="0019341A"/>
    <w:rsid w:val="00194686"/>
    <w:rsid w:val="00197AFB"/>
    <w:rsid w:val="00197DF9"/>
    <w:rsid w:val="001A1987"/>
    <w:rsid w:val="001A2564"/>
    <w:rsid w:val="001A2852"/>
    <w:rsid w:val="001A3FB7"/>
    <w:rsid w:val="001A42B1"/>
    <w:rsid w:val="001A6173"/>
    <w:rsid w:val="001A6CBA"/>
    <w:rsid w:val="001B0D97"/>
    <w:rsid w:val="001B264D"/>
    <w:rsid w:val="001B4FE7"/>
    <w:rsid w:val="001B5A5D"/>
    <w:rsid w:val="001B70F9"/>
    <w:rsid w:val="001C13BD"/>
    <w:rsid w:val="001C1CE5"/>
    <w:rsid w:val="001C2CE1"/>
    <w:rsid w:val="001C3D2A"/>
    <w:rsid w:val="001C7A37"/>
    <w:rsid w:val="001D05CD"/>
    <w:rsid w:val="001D2A95"/>
    <w:rsid w:val="001D37C4"/>
    <w:rsid w:val="001D51BA"/>
    <w:rsid w:val="001D5C9C"/>
    <w:rsid w:val="001D5DA4"/>
    <w:rsid w:val="001D6342"/>
    <w:rsid w:val="001D6D53"/>
    <w:rsid w:val="001E136F"/>
    <w:rsid w:val="001E58E2"/>
    <w:rsid w:val="001E5CD4"/>
    <w:rsid w:val="001E6C95"/>
    <w:rsid w:val="001E7AED"/>
    <w:rsid w:val="001F1232"/>
    <w:rsid w:val="001F1BF5"/>
    <w:rsid w:val="001F2779"/>
    <w:rsid w:val="001F307E"/>
    <w:rsid w:val="001F3916"/>
    <w:rsid w:val="001F54C5"/>
    <w:rsid w:val="001F662C"/>
    <w:rsid w:val="001F7074"/>
    <w:rsid w:val="001F7A52"/>
    <w:rsid w:val="00200490"/>
    <w:rsid w:val="00200DA2"/>
    <w:rsid w:val="00201F3A"/>
    <w:rsid w:val="0020332E"/>
    <w:rsid w:val="00203F96"/>
    <w:rsid w:val="00204EB9"/>
    <w:rsid w:val="002056EB"/>
    <w:rsid w:val="002069B2"/>
    <w:rsid w:val="00207FA3"/>
    <w:rsid w:val="00210D52"/>
    <w:rsid w:val="00213241"/>
    <w:rsid w:val="00214DA8"/>
    <w:rsid w:val="00215423"/>
    <w:rsid w:val="002158FA"/>
    <w:rsid w:val="00220600"/>
    <w:rsid w:val="002224DB"/>
    <w:rsid w:val="00223FCB"/>
    <w:rsid w:val="002252C3"/>
    <w:rsid w:val="002253AB"/>
    <w:rsid w:val="0022544E"/>
    <w:rsid w:val="00225C54"/>
    <w:rsid w:val="00230765"/>
    <w:rsid w:val="002319E4"/>
    <w:rsid w:val="00232D85"/>
    <w:rsid w:val="00235632"/>
    <w:rsid w:val="00235872"/>
    <w:rsid w:val="002377EC"/>
    <w:rsid w:val="00241559"/>
    <w:rsid w:val="002431B1"/>
    <w:rsid w:val="002435B3"/>
    <w:rsid w:val="002458EB"/>
    <w:rsid w:val="00246E44"/>
    <w:rsid w:val="002500C8"/>
    <w:rsid w:val="002540F4"/>
    <w:rsid w:val="00256492"/>
    <w:rsid w:val="00257543"/>
    <w:rsid w:val="0025797A"/>
    <w:rsid w:val="002617E7"/>
    <w:rsid w:val="002641C1"/>
    <w:rsid w:val="00264228"/>
    <w:rsid w:val="00264334"/>
    <w:rsid w:val="0026473E"/>
    <w:rsid w:val="00266214"/>
    <w:rsid w:val="00267C83"/>
    <w:rsid w:val="0027144F"/>
    <w:rsid w:val="00271F3A"/>
    <w:rsid w:val="00272E60"/>
    <w:rsid w:val="00273278"/>
    <w:rsid w:val="002737F4"/>
    <w:rsid w:val="00275DFB"/>
    <w:rsid w:val="00275F1A"/>
    <w:rsid w:val="002776FE"/>
    <w:rsid w:val="002805F5"/>
    <w:rsid w:val="00280751"/>
    <w:rsid w:val="0028280A"/>
    <w:rsid w:val="00286ACD"/>
    <w:rsid w:val="00287838"/>
    <w:rsid w:val="002878B2"/>
    <w:rsid w:val="002907B5"/>
    <w:rsid w:val="00292EB7"/>
    <w:rsid w:val="00293835"/>
    <w:rsid w:val="00296227"/>
    <w:rsid w:val="00296734"/>
    <w:rsid w:val="00296CFF"/>
    <w:rsid w:val="00296F44"/>
    <w:rsid w:val="002971AF"/>
    <w:rsid w:val="0029777D"/>
    <w:rsid w:val="002A055E"/>
    <w:rsid w:val="002A1D4E"/>
    <w:rsid w:val="002A2869"/>
    <w:rsid w:val="002A3352"/>
    <w:rsid w:val="002A472F"/>
    <w:rsid w:val="002A66D2"/>
    <w:rsid w:val="002B241D"/>
    <w:rsid w:val="002B24D6"/>
    <w:rsid w:val="002B2DB8"/>
    <w:rsid w:val="002B750B"/>
    <w:rsid w:val="002C41E6"/>
    <w:rsid w:val="002C6CA1"/>
    <w:rsid w:val="002C7C99"/>
    <w:rsid w:val="002D071A"/>
    <w:rsid w:val="002D0A6F"/>
    <w:rsid w:val="002D34B2"/>
    <w:rsid w:val="002D71DE"/>
    <w:rsid w:val="002D7637"/>
    <w:rsid w:val="002E17F2"/>
    <w:rsid w:val="002E7CAE"/>
    <w:rsid w:val="002F2674"/>
    <w:rsid w:val="002F2771"/>
    <w:rsid w:val="002F37A9"/>
    <w:rsid w:val="002F44AC"/>
    <w:rsid w:val="002F5789"/>
    <w:rsid w:val="002F6C2F"/>
    <w:rsid w:val="00301CE6"/>
    <w:rsid w:val="0030256B"/>
    <w:rsid w:val="0030501F"/>
    <w:rsid w:val="00307220"/>
    <w:rsid w:val="00307BA1"/>
    <w:rsid w:val="00310268"/>
    <w:rsid w:val="00311702"/>
    <w:rsid w:val="00311E82"/>
    <w:rsid w:val="00311EC9"/>
    <w:rsid w:val="00313FD6"/>
    <w:rsid w:val="003143BD"/>
    <w:rsid w:val="00314C6F"/>
    <w:rsid w:val="00317A53"/>
    <w:rsid w:val="003203ED"/>
    <w:rsid w:val="00322C9F"/>
    <w:rsid w:val="00324D23"/>
    <w:rsid w:val="00331751"/>
    <w:rsid w:val="00334579"/>
    <w:rsid w:val="00335858"/>
    <w:rsid w:val="00336BDA"/>
    <w:rsid w:val="003400C8"/>
    <w:rsid w:val="00340B42"/>
    <w:rsid w:val="00342BD7"/>
    <w:rsid w:val="00343A07"/>
    <w:rsid w:val="0034432D"/>
    <w:rsid w:val="00346DB5"/>
    <w:rsid w:val="003477B1"/>
    <w:rsid w:val="00352D06"/>
    <w:rsid w:val="0035491B"/>
    <w:rsid w:val="00357380"/>
    <w:rsid w:val="003602D9"/>
    <w:rsid w:val="003604CE"/>
    <w:rsid w:val="00360F65"/>
    <w:rsid w:val="0036439C"/>
    <w:rsid w:val="00370E47"/>
    <w:rsid w:val="00371118"/>
    <w:rsid w:val="00371751"/>
    <w:rsid w:val="003742AC"/>
    <w:rsid w:val="00377CE1"/>
    <w:rsid w:val="00385BF0"/>
    <w:rsid w:val="003910E9"/>
    <w:rsid w:val="003939FF"/>
    <w:rsid w:val="003944CB"/>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2AFD"/>
    <w:rsid w:val="003C7806"/>
    <w:rsid w:val="003D109F"/>
    <w:rsid w:val="003D2478"/>
    <w:rsid w:val="003D3C45"/>
    <w:rsid w:val="003D5B1F"/>
    <w:rsid w:val="003D684E"/>
    <w:rsid w:val="003E15FA"/>
    <w:rsid w:val="003E55E4"/>
    <w:rsid w:val="003E5EB9"/>
    <w:rsid w:val="003E74E3"/>
    <w:rsid w:val="003F05C7"/>
    <w:rsid w:val="003F2CD4"/>
    <w:rsid w:val="003F2F6E"/>
    <w:rsid w:val="003F5588"/>
    <w:rsid w:val="003F6357"/>
    <w:rsid w:val="003F6BBE"/>
    <w:rsid w:val="004000E8"/>
    <w:rsid w:val="00402E2B"/>
    <w:rsid w:val="00403ED7"/>
    <w:rsid w:val="00404315"/>
    <w:rsid w:val="0040512B"/>
    <w:rsid w:val="00405CA5"/>
    <w:rsid w:val="00407624"/>
    <w:rsid w:val="00407CD3"/>
    <w:rsid w:val="00410134"/>
    <w:rsid w:val="00410B72"/>
    <w:rsid w:val="00410F18"/>
    <w:rsid w:val="004115E5"/>
    <w:rsid w:val="0041263E"/>
    <w:rsid w:val="00413AAC"/>
    <w:rsid w:val="004162BC"/>
    <w:rsid w:val="00421105"/>
    <w:rsid w:val="00422A16"/>
    <w:rsid w:val="004230DF"/>
    <w:rsid w:val="004242F4"/>
    <w:rsid w:val="00427248"/>
    <w:rsid w:val="00430722"/>
    <w:rsid w:val="00431368"/>
    <w:rsid w:val="00434006"/>
    <w:rsid w:val="0043450D"/>
    <w:rsid w:val="0043487D"/>
    <w:rsid w:val="00437447"/>
    <w:rsid w:val="00437693"/>
    <w:rsid w:val="00440166"/>
    <w:rsid w:val="00441A92"/>
    <w:rsid w:val="00442352"/>
    <w:rsid w:val="00443E0E"/>
    <w:rsid w:val="00444F56"/>
    <w:rsid w:val="00446119"/>
    <w:rsid w:val="00446488"/>
    <w:rsid w:val="004517AA"/>
    <w:rsid w:val="00452CAC"/>
    <w:rsid w:val="00454409"/>
    <w:rsid w:val="00457565"/>
    <w:rsid w:val="00457B71"/>
    <w:rsid w:val="004669E2"/>
    <w:rsid w:val="004679C1"/>
    <w:rsid w:val="00470C31"/>
    <w:rsid w:val="0047201B"/>
    <w:rsid w:val="004734D0"/>
    <w:rsid w:val="00473510"/>
    <w:rsid w:val="004741F8"/>
    <w:rsid w:val="0047435A"/>
    <w:rsid w:val="0047556B"/>
    <w:rsid w:val="004766A5"/>
    <w:rsid w:val="00477768"/>
    <w:rsid w:val="004822CE"/>
    <w:rsid w:val="00484A8D"/>
    <w:rsid w:val="00485A43"/>
    <w:rsid w:val="004873D9"/>
    <w:rsid w:val="0049118B"/>
    <w:rsid w:val="00492BC5"/>
    <w:rsid w:val="00493761"/>
    <w:rsid w:val="00493AB1"/>
    <w:rsid w:val="004964F1"/>
    <w:rsid w:val="004A09D3"/>
    <w:rsid w:val="004A16BC"/>
    <w:rsid w:val="004A2561"/>
    <w:rsid w:val="004A2A65"/>
    <w:rsid w:val="004A2B94"/>
    <w:rsid w:val="004A6868"/>
    <w:rsid w:val="004B787B"/>
    <w:rsid w:val="004B7C0C"/>
    <w:rsid w:val="004C01C8"/>
    <w:rsid w:val="004C1338"/>
    <w:rsid w:val="004C2DB9"/>
    <w:rsid w:val="004C3898"/>
    <w:rsid w:val="004C4042"/>
    <w:rsid w:val="004C5D43"/>
    <w:rsid w:val="004D0886"/>
    <w:rsid w:val="004D1B91"/>
    <w:rsid w:val="004D36B1"/>
    <w:rsid w:val="004D431B"/>
    <w:rsid w:val="004D6356"/>
    <w:rsid w:val="004D7EBD"/>
    <w:rsid w:val="004E1BCE"/>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0023"/>
    <w:rsid w:val="00502A0C"/>
    <w:rsid w:val="00506557"/>
    <w:rsid w:val="0050677A"/>
    <w:rsid w:val="00506E4A"/>
    <w:rsid w:val="00507A57"/>
    <w:rsid w:val="005104B9"/>
    <w:rsid w:val="005108D8"/>
    <w:rsid w:val="005116F9"/>
    <w:rsid w:val="005138AF"/>
    <w:rsid w:val="005153A7"/>
    <w:rsid w:val="0052099E"/>
    <w:rsid w:val="005219CF"/>
    <w:rsid w:val="00521A8E"/>
    <w:rsid w:val="00522062"/>
    <w:rsid w:val="005222E4"/>
    <w:rsid w:val="0052660D"/>
    <w:rsid w:val="005336BB"/>
    <w:rsid w:val="00533DBC"/>
    <w:rsid w:val="00534B59"/>
    <w:rsid w:val="00536759"/>
    <w:rsid w:val="00537C62"/>
    <w:rsid w:val="005455E8"/>
    <w:rsid w:val="00546970"/>
    <w:rsid w:val="00554E19"/>
    <w:rsid w:val="005567D1"/>
    <w:rsid w:val="0056121F"/>
    <w:rsid w:val="00563BF7"/>
    <w:rsid w:val="00566C37"/>
    <w:rsid w:val="005722BC"/>
    <w:rsid w:val="00572505"/>
    <w:rsid w:val="00575EA9"/>
    <w:rsid w:val="00582809"/>
    <w:rsid w:val="00582C38"/>
    <w:rsid w:val="0058798C"/>
    <w:rsid w:val="00587DAF"/>
    <w:rsid w:val="005900FA"/>
    <w:rsid w:val="005935A4"/>
    <w:rsid w:val="005948C2"/>
    <w:rsid w:val="00595DCA"/>
    <w:rsid w:val="00597455"/>
    <w:rsid w:val="0059779B"/>
    <w:rsid w:val="005A1C1C"/>
    <w:rsid w:val="005A209A"/>
    <w:rsid w:val="005A662D"/>
    <w:rsid w:val="005B1603"/>
    <w:rsid w:val="005B35D7"/>
    <w:rsid w:val="005B392A"/>
    <w:rsid w:val="005B3AA3"/>
    <w:rsid w:val="005B591A"/>
    <w:rsid w:val="005B6E26"/>
    <w:rsid w:val="005B6F83"/>
    <w:rsid w:val="005C3462"/>
    <w:rsid w:val="005C5782"/>
    <w:rsid w:val="005C67B7"/>
    <w:rsid w:val="005C74FB"/>
    <w:rsid w:val="005D14F1"/>
    <w:rsid w:val="005D1602"/>
    <w:rsid w:val="005D5136"/>
    <w:rsid w:val="005D77AF"/>
    <w:rsid w:val="005E03C7"/>
    <w:rsid w:val="005E2399"/>
    <w:rsid w:val="005E385F"/>
    <w:rsid w:val="005E5B81"/>
    <w:rsid w:val="005E6079"/>
    <w:rsid w:val="005E6277"/>
    <w:rsid w:val="005E7774"/>
    <w:rsid w:val="005F2010"/>
    <w:rsid w:val="005F2CB1"/>
    <w:rsid w:val="005F3025"/>
    <w:rsid w:val="005F517C"/>
    <w:rsid w:val="005F618C"/>
    <w:rsid w:val="005F63A0"/>
    <w:rsid w:val="005F6F11"/>
    <w:rsid w:val="005F70BD"/>
    <w:rsid w:val="0060283C"/>
    <w:rsid w:val="00604596"/>
    <w:rsid w:val="00604F14"/>
    <w:rsid w:val="00605706"/>
    <w:rsid w:val="006069DF"/>
    <w:rsid w:val="006072B5"/>
    <w:rsid w:val="00611327"/>
    <w:rsid w:val="00611753"/>
    <w:rsid w:val="00611B83"/>
    <w:rsid w:val="00613257"/>
    <w:rsid w:val="00617022"/>
    <w:rsid w:val="00620A71"/>
    <w:rsid w:val="00620D80"/>
    <w:rsid w:val="006234A6"/>
    <w:rsid w:val="00623E1D"/>
    <w:rsid w:val="006243CE"/>
    <w:rsid w:val="00630001"/>
    <w:rsid w:val="00631092"/>
    <w:rsid w:val="006311B3"/>
    <w:rsid w:val="00631CA0"/>
    <w:rsid w:val="0063284C"/>
    <w:rsid w:val="006328C1"/>
    <w:rsid w:val="00635AAC"/>
    <w:rsid w:val="00636398"/>
    <w:rsid w:val="006368D3"/>
    <w:rsid w:val="006377EC"/>
    <w:rsid w:val="00641311"/>
    <w:rsid w:val="0064151F"/>
    <w:rsid w:val="00641533"/>
    <w:rsid w:val="0064208D"/>
    <w:rsid w:val="00643475"/>
    <w:rsid w:val="00643854"/>
    <w:rsid w:val="0064396A"/>
    <w:rsid w:val="0064624E"/>
    <w:rsid w:val="00646360"/>
    <w:rsid w:val="0064701F"/>
    <w:rsid w:val="00647207"/>
    <w:rsid w:val="00647C6B"/>
    <w:rsid w:val="00650AB9"/>
    <w:rsid w:val="00650EF2"/>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5F64"/>
    <w:rsid w:val="006771F9"/>
    <w:rsid w:val="006776D7"/>
    <w:rsid w:val="00677CE1"/>
    <w:rsid w:val="00681003"/>
    <w:rsid w:val="006817C9"/>
    <w:rsid w:val="006823F2"/>
    <w:rsid w:val="00683ECE"/>
    <w:rsid w:val="0068514A"/>
    <w:rsid w:val="00692A96"/>
    <w:rsid w:val="00695FC2"/>
    <w:rsid w:val="00696949"/>
    <w:rsid w:val="00696F29"/>
    <w:rsid w:val="00697052"/>
    <w:rsid w:val="006A173C"/>
    <w:rsid w:val="006A1F4C"/>
    <w:rsid w:val="006A46FB"/>
    <w:rsid w:val="006A5E28"/>
    <w:rsid w:val="006A697B"/>
    <w:rsid w:val="006A7AFF"/>
    <w:rsid w:val="006A7D7C"/>
    <w:rsid w:val="006B1816"/>
    <w:rsid w:val="006B1F99"/>
    <w:rsid w:val="006B2099"/>
    <w:rsid w:val="006B50CF"/>
    <w:rsid w:val="006B70F5"/>
    <w:rsid w:val="006C03B8"/>
    <w:rsid w:val="006C57F3"/>
    <w:rsid w:val="006C5868"/>
    <w:rsid w:val="006C5EC9"/>
    <w:rsid w:val="006C6059"/>
    <w:rsid w:val="006C7522"/>
    <w:rsid w:val="006C7ACB"/>
    <w:rsid w:val="006D08FA"/>
    <w:rsid w:val="006D1E26"/>
    <w:rsid w:val="006D2575"/>
    <w:rsid w:val="006D2916"/>
    <w:rsid w:val="006D4BBC"/>
    <w:rsid w:val="006D6D05"/>
    <w:rsid w:val="006D6F08"/>
    <w:rsid w:val="006E062C"/>
    <w:rsid w:val="006E28B7"/>
    <w:rsid w:val="006E3310"/>
    <w:rsid w:val="006E33A2"/>
    <w:rsid w:val="006E3CEE"/>
    <w:rsid w:val="006E4E39"/>
    <w:rsid w:val="006E565E"/>
    <w:rsid w:val="006E570A"/>
    <w:rsid w:val="006E5BAD"/>
    <w:rsid w:val="006E65BC"/>
    <w:rsid w:val="006E673D"/>
    <w:rsid w:val="006E733E"/>
    <w:rsid w:val="006E7D3B"/>
    <w:rsid w:val="006E7FDC"/>
    <w:rsid w:val="006F0B14"/>
    <w:rsid w:val="006F1B70"/>
    <w:rsid w:val="006F2EF4"/>
    <w:rsid w:val="006F341D"/>
    <w:rsid w:val="006F3CDE"/>
    <w:rsid w:val="006F58D4"/>
    <w:rsid w:val="006F7D70"/>
    <w:rsid w:val="00700965"/>
    <w:rsid w:val="00700EF5"/>
    <w:rsid w:val="00701692"/>
    <w:rsid w:val="0070346E"/>
    <w:rsid w:val="0070372B"/>
    <w:rsid w:val="00704EDB"/>
    <w:rsid w:val="00706101"/>
    <w:rsid w:val="00707072"/>
    <w:rsid w:val="00707AA1"/>
    <w:rsid w:val="00707D61"/>
    <w:rsid w:val="00712287"/>
    <w:rsid w:val="00712772"/>
    <w:rsid w:val="007148D3"/>
    <w:rsid w:val="00714F46"/>
    <w:rsid w:val="00715B9A"/>
    <w:rsid w:val="00716521"/>
    <w:rsid w:val="007210E5"/>
    <w:rsid w:val="00721CB4"/>
    <w:rsid w:val="00722F25"/>
    <w:rsid w:val="00724E91"/>
    <w:rsid w:val="00726EA6"/>
    <w:rsid w:val="00727208"/>
    <w:rsid w:val="00727680"/>
    <w:rsid w:val="00732FD6"/>
    <w:rsid w:val="0073394F"/>
    <w:rsid w:val="007348B1"/>
    <w:rsid w:val="00734A5E"/>
    <w:rsid w:val="00735DCC"/>
    <w:rsid w:val="007362A6"/>
    <w:rsid w:val="00736D7D"/>
    <w:rsid w:val="00740E58"/>
    <w:rsid w:val="0074181C"/>
    <w:rsid w:val="007429D4"/>
    <w:rsid w:val="007441EE"/>
    <w:rsid w:val="007445A0"/>
    <w:rsid w:val="0074524B"/>
    <w:rsid w:val="00747D8B"/>
    <w:rsid w:val="0075059E"/>
    <w:rsid w:val="00751228"/>
    <w:rsid w:val="0075701A"/>
    <w:rsid w:val="007571E1"/>
    <w:rsid w:val="007604B2"/>
    <w:rsid w:val="00765281"/>
    <w:rsid w:val="00766BAD"/>
    <w:rsid w:val="00770303"/>
    <w:rsid w:val="00770622"/>
    <w:rsid w:val="00770D2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977AB"/>
    <w:rsid w:val="007A1CB3"/>
    <w:rsid w:val="007A2904"/>
    <w:rsid w:val="007A306F"/>
    <w:rsid w:val="007A43A6"/>
    <w:rsid w:val="007A58A6"/>
    <w:rsid w:val="007B3D2D"/>
    <w:rsid w:val="007B50AE"/>
    <w:rsid w:val="007B51DF"/>
    <w:rsid w:val="007B74EF"/>
    <w:rsid w:val="007C03A8"/>
    <w:rsid w:val="007C05DD"/>
    <w:rsid w:val="007C090F"/>
    <w:rsid w:val="007C3D18"/>
    <w:rsid w:val="007C60BF"/>
    <w:rsid w:val="007C6A07"/>
    <w:rsid w:val="007C75A1"/>
    <w:rsid w:val="007C77A5"/>
    <w:rsid w:val="007D04E5"/>
    <w:rsid w:val="007D0A6F"/>
    <w:rsid w:val="007D5901"/>
    <w:rsid w:val="007D7526"/>
    <w:rsid w:val="007E2BBD"/>
    <w:rsid w:val="007E38A3"/>
    <w:rsid w:val="007E3A45"/>
    <w:rsid w:val="007E3D22"/>
    <w:rsid w:val="007E4610"/>
    <w:rsid w:val="007E4715"/>
    <w:rsid w:val="007E505B"/>
    <w:rsid w:val="007E7091"/>
    <w:rsid w:val="007E7A82"/>
    <w:rsid w:val="007F376F"/>
    <w:rsid w:val="007F4F62"/>
    <w:rsid w:val="008020F8"/>
    <w:rsid w:val="00803FAE"/>
    <w:rsid w:val="0080605F"/>
    <w:rsid w:val="0080628D"/>
    <w:rsid w:val="00807786"/>
    <w:rsid w:val="00811FCB"/>
    <w:rsid w:val="008158D6"/>
    <w:rsid w:val="008160A3"/>
    <w:rsid w:val="00817196"/>
    <w:rsid w:val="00822040"/>
    <w:rsid w:val="008235DB"/>
    <w:rsid w:val="00824AB4"/>
    <w:rsid w:val="00825C42"/>
    <w:rsid w:val="00825D25"/>
    <w:rsid w:val="00825E28"/>
    <w:rsid w:val="00827140"/>
    <w:rsid w:val="00827D6F"/>
    <w:rsid w:val="00827E7A"/>
    <w:rsid w:val="00834BC9"/>
    <w:rsid w:val="00836426"/>
    <w:rsid w:val="00836E13"/>
    <w:rsid w:val="008376AC"/>
    <w:rsid w:val="008444E8"/>
    <w:rsid w:val="00844E80"/>
    <w:rsid w:val="00845BBE"/>
    <w:rsid w:val="00846BE3"/>
    <w:rsid w:val="00846FE7"/>
    <w:rsid w:val="00852F1B"/>
    <w:rsid w:val="00853538"/>
    <w:rsid w:val="00853AEF"/>
    <w:rsid w:val="00854F97"/>
    <w:rsid w:val="00856911"/>
    <w:rsid w:val="008677FD"/>
    <w:rsid w:val="00867EF2"/>
    <w:rsid w:val="00870097"/>
    <w:rsid w:val="008706D4"/>
    <w:rsid w:val="00870F8A"/>
    <w:rsid w:val="008719A4"/>
    <w:rsid w:val="00871D03"/>
    <w:rsid w:val="00871D23"/>
    <w:rsid w:val="00874312"/>
    <w:rsid w:val="0087437C"/>
    <w:rsid w:val="00875CD7"/>
    <w:rsid w:val="00876B4D"/>
    <w:rsid w:val="00877F18"/>
    <w:rsid w:val="008852FD"/>
    <w:rsid w:val="0088638D"/>
    <w:rsid w:val="00887B9C"/>
    <w:rsid w:val="008915EB"/>
    <w:rsid w:val="00894048"/>
    <w:rsid w:val="00894A88"/>
    <w:rsid w:val="00895386"/>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29E7"/>
    <w:rsid w:val="008B47BB"/>
    <w:rsid w:val="008B4A74"/>
    <w:rsid w:val="008B51A0"/>
    <w:rsid w:val="008B592A"/>
    <w:rsid w:val="008B62C2"/>
    <w:rsid w:val="008B6C2D"/>
    <w:rsid w:val="008B7B5C"/>
    <w:rsid w:val="008C0C99"/>
    <w:rsid w:val="008C2017"/>
    <w:rsid w:val="008C3DAA"/>
    <w:rsid w:val="008C4958"/>
    <w:rsid w:val="008C4BAA"/>
    <w:rsid w:val="008C596B"/>
    <w:rsid w:val="008C6AE8"/>
    <w:rsid w:val="008C6FAB"/>
    <w:rsid w:val="008C7573"/>
    <w:rsid w:val="008D34F1"/>
    <w:rsid w:val="008D39D8"/>
    <w:rsid w:val="008D476E"/>
    <w:rsid w:val="008D6D1A"/>
    <w:rsid w:val="008E065E"/>
    <w:rsid w:val="008E0927"/>
    <w:rsid w:val="008E1909"/>
    <w:rsid w:val="008E2F69"/>
    <w:rsid w:val="008E4734"/>
    <w:rsid w:val="008E4CF6"/>
    <w:rsid w:val="008F1EAB"/>
    <w:rsid w:val="008F33DC"/>
    <w:rsid w:val="008F477F"/>
    <w:rsid w:val="008F4DA9"/>
    <w:rsid w:val="008F5CC1"/>
    <w:rsid w:val="00901262"/>
    <w:rsid w:val="00902350"/>
    <w:rsid w:val="0090336B"/>
    <w:rsid w:val="009053AA"/>
    <w:rsid w:val="00906939"/>
    <w:rsid w:val="00910970"/>
    <w:rsid w:val="00910B7D"/>
    <w:rsid w:val="00911DFB"/>
    <w:rsid w:val="009139D9"/>
    <w:rsid w:val="00914AD8"/>
    <w:rsid w:val="00914DB8"/>
    <w:rsid w:val="00916079"/>
    <w:rsid w:val="0091630A"/>
    <w:rsid w:val="00917CE9"/>
    <w:rsid w:val="00920BF2"/>
    <w:rsid w:val="00922010"/>
    <w:rsid w:val="009233C5"/>
    <w:rsid w:val="00923950"/>
    <w:rsid w:val="00924106"/>
    <w:rsid w:val="0092730E"/>
    <w:rsid w:val="00931BD9"/>
    <w:rsid w:val="00932689"/>
    <w:rsid w:val="00935337"/>
    <w:rsid w:val="009368F3"/>
    <w:rsid w:val="009407B1"/>
    <w:rsid w:val="00941636"/>
    <w:rsid w:val="00943742"/>
    <w:rsid w:val="009452EE"/>
    <w:rsid w:val="00945C05"/>
    <w:rsid w:val="00945D63"/>
    <w:rsid w:val="00946945"/>
    <w:rsid w:val="0094732E"/>
    <w:rsid w:val="00947713"/>
    <w:rsid w:val="0095091F"/>
    <w:rsid w:val="00950DE7"/>
    <w:rsid w:val="00953920"/>
    <w:rsid w:val="00953D47"/>
    <w:rsid w:val="0095681E"/>
    <w:rsid w:val="009572D4"/>
    <w:rsid w:val="00961921"/>
    <w:rsid w:val="00961B7A"/>
    <w:rsid w:val="00963380"/>
    <w:rsid w:val="00963B0A"/>
    <w:rsid w:val="0096430A"/>
    <w:rsid w:val="00964895"/>
    <w:rsid w:val="0096554B"/>
    <w:rsid w:val="0096584A"/>
    <w:rsid w:val="0096787C"/>
    <w:rsid w:val="00971F08"/>
    <w:rsid w:val="0097603D"/>
    <w:rsid w:val="00976137"/>
    <w:rsid w:val="00976949"/>
    <w:rsid w:val="0097748F"/>
    <w:rsid w:val="00980477"/>
    <w:rsid w:val="009810F3"/>
    <w:rsid w:val="0098320A"/>
    <w:rsid w:val="00985253"/>
    <w:rsid w:val="009853B3"/>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4EA5"/>
    <w:rsid w:val="009B564E"/>
    <w:rsid w:val="009B7D0C"/>
    <w:rsid w:val="009B7E87"/>
    <w:rsid w:val="009C279B"/>
    <w:rsid w:val="009C403E"/>
    <w:rsid w:val="009C7133"/>
    <w:rsid w:val="009C7E7B"/>
    <w:rsid w:val="009D4FF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7FE2"/>
    <w:rsid w:val="00A048A8"/>
    <w:rsid w:val="00A04F49"/>
    <w:rsid w:val="00A06A38"/>
    <w:rsid w:val="00A07C54"/>
    <w:rsid w:val="00A1117D"/>
    <w:rsid w:val="00A1143E"/>
    <w:rsid w:val="00A13E54"/>
    <w:rsid w:val="00A15566"/>
    <w:rsid w:val="00A17F63"/>
    <w:rsid w:val="00A2052C"/>
    <w:rsid w:val="00A2193B"/>
    <w:rsid w:val="00A2351A"/>
    <w:rsid w:val="00A250E4"/>
    <w:rsid w:val="00A25E7D"/>
    <w:rsid w:val="00A264A9"/>
    <w:rsid w:val="00A26803"/>
    <w:rsid w:val="00A27785"/>
    <w:rsid w:val="00A30187"/>
    <w:rsid w:val="00A30B3C"/>
    <w:rsid w:val="00A3448A"/>
    <w:rsid w:val="00A36297"/>
    <w:rsid w:val="00A4125A"/>
    <w:rsid w:val="00A41E2B"/>
    <w:rsid w:val="00A438C2"/>
    <w:rsid w:val="00A45090"/>
    <w:rsid w:val="00A45347"/>
    <w:rsid w:val="00A45B74"/>
    <w:rsid w:val="00A47508"/>
    <w:rsid w:val="00A5050B"/>
    <w:rsid w:val="00A50ABB"/>
    <w:rsid w:val="00A526BF"/>
    <w:rsid w:val="00A52E1D"/>
    <w:rsid w:val="00A53D86"/>
    <w:rsid w:val="00A56AB4"/>
    <w:rsid w:val="00A60EFD"/>
    <w:rsid w:val="00A61499"/>
    <w:rsid w:val="00A62A77"/>
    <w:rsid w:val="00A63483"/>
    <w:rsid w:val="00A63B02"/>
    <w:rsid w:val="00A642F6"/>
    <w:rsid w:val="00A646C4"/>
    <w:rsid w:val="00A657D7"/>
    <w:rsid w:val="00A660AC"/>
    <w:rsid w:val="00A66F55"/>
    <w:rsid w:val="00A67E6C"/>
    <w:rsid w:val="00A71B99"/>
    <w:rsid w:val="00A739D0"/>
    <w:rsid w:val="00A761D4"/>
    <w:rsid w:val="00A77EC4"/>
    <w:rsid w:val="00A814F0"/>
    <w:rsid w:val="00A82EB9"/>
    <w:rsid w:val="00A8799A"/>
    <w:rsid w:val="00A9241C"/>
    <w:rsid w:val="00A92879"/>
    <w:rsid w:val="00A9442A"/>
    <w:rsid w:val="00A9540C"/>
    <w:rsid w:val="00A97FF6"/>
    <w:rsid w:val="00AA016F"/>
    <w:rsid w:val="00AA1B70"/>
    <w:rsid w:val="00AA1ED6"/>
    <w:rsid w:val="00AA51D6"/>
    <w:rsid w:val="00AB0BC8"/>
    <w:rsid w:val="00AB0BEE"/>
    <w:rsid w:val="00AB11CA"/>
    <w:rsid w:val="00AB14D9"/>
    <w:rsid w:val="00AB2797"/>
    <w:rsid w:val="00AB2BC9"/>
    <w:rsid w:val="00AB4097"/>
    <w:rsid w:val="00AB4AB8"/>
    <w:rsid w:val="00AB655E"/>
    <w:rsid w:val="00AC007F"/>
    <w:rsid w:val="00AC1772"/>
    <w:rsid w:val="00AC2ECD"/>
    <w:rsid w:val="00AC2F6B"/>
    <w:rsid w:val="00AC3119"/>
    <w:rsid w:val="00AC37BF"/>
    <w:rsid w:val="00AC49FB"/>
    <w:rsid w:val="00AC599C"/>
    <w:rsid w:val="00AC5A10"/>
    <w:rsid w:val="00AD0AA3"/>
    <w:rsid w:val="00AD1063"/>
    <w:rsid w:val="00AD3A0B"/>
    <w:rsid w:val="00AD3F94"/>
    <w:rsid w:val="00AD4A5A"/>
    <w:rsid w:val="00AE0074"/>
    <w:rsid w:val="00AE0C36"/>
    <w:rsid w:val="00AE27AC"/>
    <w:rsid w:val="00AE2A30"/>
    <w:rsid w:val="00AE2D72"/>
    <w:rsid w:val="00AE3743"/>
    <w:rsid w:val="00AE40E0"/>
    <w:rsid w:val="00AE4DBA"/>
    <w:rsid w:val="00AE4F07"/>
    <w:rsid w:val="00AF1C5D"/>
    <w:rsid w:val="00AF42D7"/>
    <w:rsid w:val="00AF6AD0"/>
    <w:rsid w:val="00AF7D60"/>
    <w:rsid w:val="00B006FE"/>
    <w:rsid w:val="00B007CB"/>
    <w:rsid w:val="00B017A2"/>
    <w:rsid w:val="00B02AA9"/>
    <w:rsid w:val="00B02FA3"/>
    <w:rsid w:val="00B05084"/>
    <w:rsid w:val="00B06B4A"/>
    <w:rsid w:val="00B11155"/>
    <w:rsid w:val="00B137FA"/>
    <w:rsid w:val="00B157F9"/>
    <w:rsid w:val="00B20256"/>
    <w:rsid w:val="00B20D09"/>
    <w:rsid w:val="00B24178"/>
    <w:rsid w:val="00B2763F"/>
    <w:rsid w:val="00B27AAC"/>
    <w:rsid w:val="00B30929"/>
    <w:rsid w:val="00B33ACB"/>
    <w:rsid w:val="00B34996"/>
    <w:rsid w:val="00B3729D"/>
    <w:rsid w:val="00B372AA"/>
    <w:rsid w:val="00B37B37"/>
    <w:rsid w:val="00B40445"/>
    <w:rsid w:val="00B41888"/>
    <w:rsid w:val="00B41A0E"/>
    <w:rsid w:val="00B430D8"/>
    <w:rsid w:val="00B445D5"/>
    <w:rsid w:val="00B45A52"/>
    <w:rsid w:val="00B46175"/>
    <w:rsid w:val="00B4671C"/>
    <w:rsid w:val="00B47B26"/>
    <w:rsid w:val="00B50C00"/>
    <w:rsid w:val="00B55B9D"/>
    <w:rsid w:val="00B60FC8"/>
    <w:rsid w:val="00B61365"/>
    <w:rsid w:val="00B6188F"/>
    <w:rsid w:val="00B640CF"/>
    <w:rsid w:val="00B64816"/>
    <w:rsid w:val="00B65A95"/>
    <w:rsid w:val="00B664C7"/>
    <w:rsid w:val="00B703AC"/>
    <w:rsid w:val="00B7092C"/>
    <w:rsid w:val="00B739F6"/>
    <w:rsid w:val="00B74664"/>
    <w:rsid w:val="00B81A6C"/>
    <w:rsid w:val="00B82BD9"/>
    <w:rsid w:val="00B85DE5"/>
    <w:rsid w:val="00B87331"/>
    <w:rsid w:val="00B903AE"/>
    <w:rsid w:val="00B90F73"/>
    <w:rsid w:val="00B915E1"/>
    <w:rsid w:val="00B92089"/>
    <w:rsid w:val="00B93B59"/>
    <w:rsid w:val="00B9406A"/>
    <w:rsid w:val="00B96913"/>
    <w:rsid w:val="00BA1CD1"/>
    <w:rsid w:val="00BA2280"/>
    <w:rsid w:val="00BA2A08"/>
    <w:rsid w:val="00BA56D2"/>
    <w:rsid w:val="00BA6990"/>
    <w:rsid w:val="00BA76E0"/>
    <w:rsid w:val="00BA76FC"/>
    <w:rsid w:val="00BA7F97"/>
    <w:rsid w:val="00BB220A"/>
    <w:rsid w:val="00BB2A25"/>
    <w:rsid w:val="00BB51E9"/>
    <w:rsid w:val="00BC0FDC"/>
    <w:rsid w:val="00BC3053"/>
    <w:rsid w:val="00BC4732"/>
    <w:rsid w:val="00BC4D2E"/>
    <w:rsid w:val="00BD0EA9"/>
    <w:rsid w:val="00BD48AC"/>
    <w:rsid w:val="00BD5F1A"/>
    <w:rsid w:val="00BE1234"/>
    <w:rsid w:val="00BE2FA6"/>
    <w:rsid w:val="00BE333F"/>
    <w:rsid w:val="00BE7406"/>
    <w:rsid w:val="00BE7603"/>
    <w:rsid w:val="00BF1662"/>
    <w:rsid w:val="00BF3279"/>
    <w:rsid w:val="00BF3B64"/>
    <w:rsid w:val="00BF430D"/>
    <w:rsid w:val="00BF5190"/>
    <w:rsid w:val="00BF74C7"/>
    <w:rsid w:val="00C015F1"/>
    <w:rsid w:val="00C01F33"/>
    <w:rsid w:val="00C027AE"/>
    <w:rsid w:val="00C02CC6"/>
    <w:rsid w:val="00C040F7"/>
    <w:rsid w:val="00C041B0"/>
    <w:rsid w:val="00C044AB"/>
    <w:rsid w:val="00C05706"/>
    <w:rsid w:val="00C06F35"/>
    <w:rsid w:val="00C07377"/>
    <w:rsid w:val="00C10478"/>
    <w:rsid w:val="00C12107"/>
    <w:rsid w:val="00C14D4B"/>
    <w:rsid w:val="00C154BB"/>
    <w:rsid w:val="00C15705"/>
    <w:rsid w:val="00C22A9F"/>
    <w:rsid w:val="00C24345"/>
    <w:rsid w:val="00C277EB"/>
    <w:rsid w:val="00C279B5"/>
    <w:rsid w:val="00C27C45"/>
    <w:rsid w:val="00C35AF1"/>
    <w:rsid w:val="00C3719D"/>
    <w:rsid w:val="00C40F27"/>
    <w:rsid w:val="00C45322"/>
    <w:rsid w:val="00C52FDA"/>
    <w:rsid w:val="00C54995"/>
    <w:rsid w:val="00C54D41"/>
    <w:rsid w:val="00C56C85"/>
    <w:rsid w:val="00C60783"/>
    <w:rsid w:val="00C620BC"/>
    <w:rsid w:val="00C622D9"/>
    <w:rsid w:val="00C62E3A"/>
    <w:rsid w:val="00C64672"/>
    <w:rsid w:val="00C6578E"/>
    <w:rsid w:val="00C6640F"/>
    <w:rsid w:val="00C70697"/>
    <w:rsid w:val="00C72EF4"/>
    <w:rsid w:val="00C73BA5"/>
    <w:rsid w:val="00C75548"/>
    <w:rsid w:val="00C75D2F"/>
    <w:rsid w:val="00C767BE"/>
    <w:rsid w:val="00C76E3C"/>
    <w:rsid w:val="00C81568"/>
    <w:rsid w:val="00C85CAD"/>
    <w:rsid w:val="00C85E4C"/>
    <w:rsid w:val="00C8740E"/>
    <w:rsid w:val="00C9027A"/>
    <w:rsid w:val="00C9068E"/>
    <w:rsid w:val="00C93C4B"/>
    <w:rsid w:val="00C93CE2"/>
    <w:rsid w:val="00C944AB"/>
    <w:rsid w:val="00C95B40"/>
    <w:rsid w:val="00C95E01"/>
    <w:rsid w:val="00CA1ED8"/>
    <w:rsid w:val="00CB1F63"/>
    <w:rsid w:val="00CB2F66"/>
    <w:rsid w:val="00CB3FA4"/>
    <w:rsid w:val="00CB522D"/>
    <w:rsid w:val="00CB7170"/>
    <w:rsid w:val="00CC040E"/>
    <w:rsid w:val="00CC111F"/>
    <w:rsid w:val="00CC2011"/>
    <w:rsid w:val="00CC3EA0"/>
    <w:rsid w:val="00CC7B45"/>
    <w:rsid w:val="00CD1188"/>
    <w:rsid w:val="00CD12CF"/>
    <w:rsid w:val="00CD1CC9"/>
    <w:rsid w:val="00CD2ED1"/>
    <w:rsid w:val="00CD337B"/>
    <w:rsid w:val="00CD39A2"/>
    <w:rsid w:val="00CD39A8"/>
    <w:rsid w:val="00CD3B5C"/>
    <w:rsid w:val="00CD3FD4"/>
    <w:rsid w:val="00CE0062"/>
    <w:rsid w:val="00CE0424"/>
    <w:rsid w:val="00CE0D18"/>
    <w:rsid w:val="00CE5177"/>
    <w:rsid w:val="00CE7561"/>
    <w:rsid w:val="00CE7DDD"/>
    <w:rsid w:val="00CF1354"/>
    <w:rsid w:val="00CF1B89"/>
    <w:rsid w:val="00CF3B1F"/>
    <w:rsid w:val="00CF3BF6"/>
    <w:rsid w:val="00CF54A6"/>
    <w:rsid w:val="00CF625B"/>
    <w:rsid w:val="00CF687E"/>
    <w:rsid w:val="00D01433"/>
    <w:rsid w:val="00D0349B"/>
    <w:rsid w:val="00D05054"/>
    <w:rsid w:val="00D0687A"/>
    <w:rsid w:val="00D076C2"/>
    <w:rsid w:val="00D07867"/>
    <w:rsid w:val="00D10249"/>
    <w:rsid w:val="00D115C3"/>
    <w:rsid w:val="00D11897"/>
    <w:rsid w:val="00D13135"/>
    <w:rsid w:val="00D13E4E"/>
    <w:rsid w:val="00D14DD7"/>
    <w:rsid w:val="00D164F1"/>
    <w:rsid w:val="00D1681F"/>
    <w:rsid w:val="00D239A7"/>
    <w:rsid w:val="00D23F47"/>
    <w:rsid w:val="00D26AE7"/>
    <w:rsid w:val="00D323F0"/>
    <w:rsid w:val="00D36E71"/>
    <w:rsid w:val="00D37D87"/>
    <w:rsid w:val="00D37DA6"/>
    <w:rsid w:val="00D40B33"/>
    <w:rsid w:val="00D41B58"/>
    <w:rsid w:val="00D42F67"/>
    <w:rsid w:val="00D4318F"/>
    <w:rsid w:val="00D438BF"/>
    <w:rsid w:val="00D440F8"/>
    <w:rsid w:val="00D448BA"/>
    <w:rsid w:val="00D45AC8"/>
    <w:rsid w:val="00D50109"/>
    <w:rsid w:val="00D50F97"/>
    <w:rsid w:val="00D5336E"/>
    <w:rsid w:val="00D53998"/>
    <w:rsid w:val="00D546FF"/>
    <w:rsid w:val="00D55AD5"/>
    <w:rsid w:val="00D576CA"/>
    <w:rsid w:val="00D57A60"/>
    <w:rsid w:val="00D61AF5"/>
    <w:rsid w:val="00D61DDB"/>
    <w:rsid w:val="00D647CC"/>
    <w:rsid w:val="00D652B5"/>
    <w:rsid w:val="00D66155"/>
    <w:rsid w:val="00D708B0"/>
    <w:rsid w:val="00D7203C"/>
    <w:rsid w:val="00D725B7"/>
    <w:rsid w:val="00D7389E"/>
    <w:rsid w:val="00D75D56"/>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325E"/>
    <w:rsid w:val="00DA4373"/>
    <w:rsid w:val="00DA5417"/>
    <w:rsid w:val="00DA56E8"/>
    <w:rsid w:val="00DA6387"/>
    <w:rsid w:val="00DB0A9F"/>
    <w:rsid w:val="00DB1621"/>
    <w:rsid w:val="00DB1E0B"/>
    <w:rsid w:val="00DB377D"/>
    <w:rsid w:val="00DC2D36"/>
    <w:rsid w:val="00DC53EF"/>
    <w:rsid w:val="00DD59A9"/>
    <w:rsid w:val="00DE5608"/>
    <w:rsid w:val="00DE58D0"/>
    <w:rsid w:val="00DE613D"/>
    <w:rsid w:val="00DE654F"/>
    <w:rsid w:val="00DF0B6E"/>
    <w:rsid w:val="00DF15E0"/>
    <w:rsid w:val="00DF2AAA"/>
    <w:rsid w:val="00DF37A0"/>
    <w:rsid w:val="00DF3D41"/>
    <w:rsid w:val="00DF4948"/>
    <w:rsid w:val="00DF6874"/>
    <w:rsid w:val="00DF7C58"/>
    <w:rsid w:val="00DF7FA9"/>
    <w:rsid w:val="00E0494D"/>
    <w:rsid w:val="00E04B85"/>
    <w:rsid w:val="00E076D6"/>
    <w:rsid w:val="00E110E7"/>
    <w:rsid w:val="00E11B20"/>
    <w:rsid w:val="00E14D40"/>
    <w:rsid w:val="00E1605C"/>
    <w:rsid w:val="00E17FA2"/>
    <w:rsid w:val="00E22330"/>
    <w:rsid w:val="00E22969"/>
    <w:rsid w:val="00E238EA"/>
    <w:rsid w:val="00E30B5A"/>
    <w:rsid w:val="00E31113"/>
    <w:rsid w:val="00E3123D"/>
    <w:rsid w:val="00E31461"/>
    <w:rsid w:val="00E31D43"/>
    <w:rsid w:val="00E32608"/>
    <w:rsid w:val="00E34188"/>
    <w:rsid w:val="00E34B6E"/>
    <w:rsid w:val="00E34CEA"/>
    <w:rsid w:val="00E35559"/>
    <w:rsid w:val="00E35D28"/>
    <w:rsid w:val="00E3723A"/>
    <w:rsid w:val="00E37860"/>
    <w:rsid w:val="00E37EAC"/>
    <w:rsid w:val="00E41BD5"/>
    <w:rsid w:val="00E43421"/>
    <w:rsid w:val="00E446F1"/>
    <w:rsid w:val="00E46886"/>
    <w:rsid w:val="00E47AEF"/>
    <w:rsid w:val="00E50307"/>
    <w:rsid w:val="00E53B75"/>
    <w:rsid w:val="00E54E3B"/>
    <w:rsid w:val="00E57565"/>
    <w:rsid w:val="00E60379"/>
    <w:rsid w:val="00E63838"/>
    <w:rsid w:val="00E64434"/>
    <w:rsid w:val="00E64E9E"/>
    <w:rsid w:val="00E67C51"/>
    <w:rsid w:val="00E72E83"/>
    <w:rsid w:val="00E72EFC"/>
    <w:rsid w:val="00E75759"/>
    <w:rsid w:val="00E758EC"/>
    <w:rsid w:val="00E80185"/>
    <w:rsid w:val="00E80955"/>
    <w:rsid w:val="00E8234C"/>
    <w:rsid w:val="00E834E9"/>
    <w:rsid w:val="00E83AA9"/>
    <w:rsid w:val="00E85928"/>
    <w:rsid w:val="00E8670E"/>
    <w:rsid w:val="00E87822"/>
    <w:rsid w:val="00E901A9"/>
    <w:rsid w:val="00E90395"/>
    <w:rsid w:val="00E90E49"/>
    <w:rsid w:val="00E917F9"/>
    <w:rsid w:val="00E9291C"/>
    <w:rsid w:val="00E939F9"/>
    <w:rsid w:val="00E93FFE"/>
    <w:rsid w:val="00E94F8A"/>
    <w:rsid w:val="00EA3531"/>
    <w:rsid w:val="00EA4518"/>
    <w:rsid w:val="00EA7881"/>
    <w:rsid w:val="00EA7A41"/>
    <w:rsid w:val="00EB0589"/>
    <w:rsid w:val="00EB077B"/>
    <w:rsid w:val="00EB4EA2"/>
    <w:rsid w:val="00EB546C"/>
    <w:rsid w:val="00EC27C6"/>
    <w:rsid w:val="00EC3369"/>
    <w:rsid w:val="00EC4207"/>
    <w:rsid w:val="00EC4724"/>
    <w:rsid w:val="00EC5653"/>
    <w:rsid w:val="00EC71CE"/>
    <w:rsid w:val="00EC74D7"/>
    <w:rsid w:val="00ED072A"/>
    <w:rsid w:val="00ED1006"/>
    <w:rsid w:val="00ED26DA"/>
    <w:rsid w:val="00ED2DB0"/>
    <w:rsid w:val="00ED75A3"/>
    <w:rsid w:val="00ED7BD8"/>
    <w:rsid w:val="00EE0845"/>
    <w:rsid w:val="00EE0A4E"/>
    <w:rsid w:val="00EE6802"/>
    <w:rsid w:val="00EF0EEC"/>
    <w:rsid w:val="00EF1400"/>
    <w:rsid w:val="00EF18FE"/>
    <w:rsid w:val="00EF1AE6"/>
    <w:rsid w:val="00EF280F"/>
    <w:rsid w:val="00EF2ACE"/>
    <w:rsid w:val="00EF3BF6"/>
    <w:rsid w:val="00EF5787"/>
    <w:rsid w:val="00EF60D0"/>
    <w:rsid w:val="00EF6533"/>
    <w:rsid w:val="00F028F3"/>
    <w:rsid w:val="00F0528D"/>
    <w:rsid w:val="00F06C67"/>
    <w:rsid w:val="00F06DFD"/>
    <w:rsid w:val="00F071D1"/>
    <w:rsid w:val="00F07533"/>
    <w:rsid w:val="00F10629"/>
    <w:rsid w:val="00F10A1B"/>
    <w:rsid w:val="00F10FCC"/>
    <w:rsid w:val="00F12EC4"/>
    <w:rsid w:val="00F13085"/>
    <w:rsid w:val="00F13121"/>
    <w:rsid w:val="00F15FA5"/>
    <w:rsid w:val="00F209B7"/>
    <w:rsid w:val="00F2376F"/>
    <w:rsid w:val="00F243D8"/>
    <w:rsid w:val="00F25210"/>
    <w:rsid w:val="00F30828"/>
    <w:rsid w:val="00F313D6"/>
    <w:rsid w:val="00F35926"/>
    <w:rsid w:val="00F36266"/>
    <w:rsid w:val="00F402BA"/>
    <w:rsid w:val="00F40F0C"/>
    <w:rsid w:val="00F46A51"/>
    <w:rsid w:val="00F4766C"/>
    <w:rsid w:val="00F50350"/>
    <w:rsid w:val="00F507D1"/>
    <w:rsid w:val="00F519CE"/>
    <w:rsid w:val="00F51ADA"/>
    <w:rsid w:val="00F57641"/>
    <w:rsid w:val="00F60757"/>
    <w:rsid w:val="00F607C5"/>
    <w:rsid w:val="00F60DEA"/>
    <w:rsid w:val="00F61831"/>
    <w:rsid w:val="00F6302A"/>
    <w:rsid w:val="00F6314D"/>
    <w:rsid w:val="00F6316C"/>
    <w:rsid w:val="00F63C80"/>
    <w:rsid w:val="00F64C2B"/>
    <w:rsid w:val="00F651BE"/>
    <w:rsid w:val="00F67F53"/>
    <w:rsid w:val="00F703BE"/>
    <w:rsid w:val="00F71F69"/>
    <w:rsid w:val="00F72B72"/>
    <w:rsid w:val="00F73E4F"/>
    <w:rsid w:val="00F746A1"/>
    <w:rsid w:val="00F74BB9"/>
    <w:rsid w:val="00F75582"/>
    <w:rsid w:val="00F76EFA"/>
    <w:rsid w:val="00F804BE"/>
    <w:rsid w:val="00F817CE"/>
    <w:rsid w:val="00F82763"/>
    <w:rsid w:val="00F82B6A"/>
    <w:rsid w:val="00F8456C"/>
    <w:rsid w:val="00F84B3E"/>
    <w:rsid w:val="00F859D8"/>
    <w:rsid w:val="00F868F5"/>
    <w:rsid w:val="00F9056A"/>
    <w:rsid w:val="00F90F8D"/>
    <w:rsid w:val="00F91CE4"/>
    <w:rsid w:val="00F92782"/>
    <w:rsid w:val="00F93AA9"/>
    <w:rsid w:val="00F948C2"/>
    <w:rsid w:val="00F96985"/>
    <w:rsid w:val="00F97838"/>
    <w:rsid w:val="00FA2BB3"/>
    <w:rsid w:val="00FB262F"/>
    <w:rsid w:val="00FB4C80"/>
    <w:rsid w:val="00FB6A6A"/>
    <w:rsid w:val="00FC16B9"/>
    <w:rsid w:val="00FC2F5F"/>
    <w:rsid w:val="00FC4075"/>
    <w:rsid w:val="00FC5BB2"/>
    <w:rsid w:val="00FC5DCB"/>
    <w:rsid w:val="00FC7429"/>
    <w:rsid w:val="00FD07F6"/>
    <w:rsid w:val="00FD1EC8"/>
    <w:rsid w:val="00FD37F0"/>
    <w:rsid w:val="00FD47ED"/>
    <w:rsid w:val="00FD74DB"/>
    <w:rsid w:val="00FD7660"/>
    <w:rsid w:val="00FE0655"/>
    <w:rsid w:val="00FE2365"/>
    <w:rsid w:val="00FE4C7B"/>
    <w:rsid w:val="00FE7336"/>
    <w:rsid w:val="00FE787C"/>
    <w:rsid w:val="00FF45A5"/>
    <w:rsid w:val="00FF50A6"/>
    <w:rsid w:val="00FF5C91"/>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45A27346-0AC1-42CE-80F1-BEAEFCE7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semiHidden="1"/>
    <w:lsdException w:name="caption" w:uiPriority="35" w:qFormat="1"/>
    <w:lsdException w:name="table of figures" w:uiPriority="99"/>
    <w:lsdException w:name="footnote reference" w:semiHidden="1"/>
    <w:lsdException w:name="annotation reference" w:semiHidden="1"/>
    <w:lsdException w:name="page number" w:semiHidden="1"/>
    <w:lsdException w:name="Title" w:qFormat="1"/>
    <w:lsdException w:name="Default Paragraph Font" w:semiHidden="1"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tabs>
        <w:tab w:val="clear" w:pos="576"/>
      </w:tabs>
      <w:spacing w:before="120"/>
      <w:outlineLvl w:val="2"/>
    </w:pPr>
    <w:rPr>
      <w:sz w:val="28"/>
      <w:szCs w:val="28"/>
    </w:rPr>
  </w:style>
  <w:style w:type="paragraph" w:styleId="4">
    <w:name w:val="heading 4"/>
    <w:basedOn w:val="3"/>
    <w:next w:val="a0"/>
    <w:qFormat/>
    <w:pPr>
      <w:numPr>
        <w:ilvl w:val="3"/>
      </w:numPr>
      <w:tabs>
        <w:tab w:val="clear" w:pos="720"/>
      </w:tabs>
      <w:outlineLvl w:val="3"/>
    </w:pPr>
    <w:rPr>
      <w:sz w:val="24"/>
      <w:szCs w:val="24"/>
    </w:rPr>
  </w:style>
  <w:style w:type="paragraph" w:styleId="5">
    <w:name w:val="heading 5"/>
    <w:basedOn w:val="4"/>
    <w:next w:val="a0"/>
    <w:qFormat/>
    <w:pPr>
      <w:numPr>
        <w:ilvl w:val="4"/>
      </w:numPr>
      <w:tabs>
        <w:tab w:val="clear" w:pos="864"/>
      </w:tabs>
      <w:outlineLvl w:val="4"/>
    </w:pPr>
    <w:rPr>
      <w:sz w:val="22"/>
      <w:szCs w:val="22"/>
    </w:rPr>
  </w:style>
  <w:style w:type="paragraph" w:styleId="6">
    <w:name w:val="heading 6"/>
    <w:basedOn w:val="a0"/>
    <w:next w:val="a0"/>
    <w:qFormat/>
    <w:pPr>
      <w:keepNext/>
      <w:keepLines/>
      <w:numPr>
        <w:ilvl w:val="5"/>
        <w:numId w:val="1"/>
      </w:numPr>
      <w:tabs>
        <w:tab w:val="left" w:pos="432"/>
      </w:tabs>
      <w:spacing w:before="120"/>
      <w:outlineLvl w:val="5"/>
    </w:pPr>
    <w:rPr>
      <w:rFonts w:cs="Arial"/>
    </w:rPr>
  </w:style>
  <w:style w:type="paragraph" w:styleId="7">
    <w:name w:val="heading 7"/>
    <w:basedOn w:val="a0"/>
    <w:next w:val="a0"/>
    <w:qFormat/>
    <w:pPr>
      <w:keepNext/>
      <w:keepLines/>
      <w:numPr>
        <w:ilvl w:val="6"/>
        <w:numId w:val="1"/>
      </w:numPr>
      <w:tabs>
        <w:tab w:val="left" w:pos="432"/>
      </w:tabs>
      <w:spacing w:before="120"/>
      <w:outlineLvl w:val="6"/>
    </w:pPr>
    <w:rPr>
      <w:rFonts w:cs="Arial"/>
    </w:rPr>
  </w:style>
  <w:style w:type="paragraph" w:styleId="8">
    <w:name w:val="heading 8"/>
    <w:basedOn w:val="7"/>
    <w:next w:val="a0"/>
    <w:qFormat/>
    <w:pPr>
      <w:numPr>
        <w:ilvl w:val="7"/>
      </w:numPr>
      <w:tabs>
        <w:tab w:val="clear" w:pos="1296"/>
      </w:tabs>
      <w:outlineLvl w:val="7"/>
    </w:pPr>
  </w:style>
  <w:style w:type="paragraph" w:styleId="9">
    <w:name w:val="heading 9"/>
    <w:basedOn w:val="8"/>
    <w:next w:val="a0"/>
    <w:qFormat/>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pPr>
      <w:ind w:left="568" w:hanging="284"/>
    </w:pPr>
  </w:style>
  <w:style w:type="paragraph" w:styleId="a5">
    <w:name w:val="annotation subject"/>
    <w:basedOn w:val="a6"/>
    <w:next w:val="a6"/>
    <w:semiHidden/>
    <w:rPr>
      <w:b/>
      <w:bCs/>
    </w:rPr>
  </w:style>
  <w:style w:type="paragraph" w:styleId="a6">
    <w:name w:val="annotation text"/>
    <w:basedOn w:val="a0"/>
    <w:semiHidden/>
  </w:style>
  <w:style w:type="paragraph" w:styleId="70">
    <w:name w:val="toc 7"/>
    <w:basedOn w:val="60"/>
    <w:next w:val="a0"/>
    <w:semiHidden/>
    <w:pPr>
      <w:ind w:left="2268" w:hanging="2268"/>
    </w:pPr>
  </w:style>
  <w:style w:type="paragraph" w:styleId="60">
    <w:name w:val="toc 6"/>
    <w:basedOn w:val="51"/>
    <w:next w:val="a0"/>
    <w:semiHidden/>
    <w:pPr>
      <w:ind w:left="1985" w:hanging="1985"/>
    </w:pPr>
  </w:style>
  <w:style w:type="paragraph" w:styleId="51">
    <w:name w:val="toc 5"/>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2"/>
    <w:semiHidden/>
    <w:pPr>
      <w:ind w:left="1134" w:hanging="1134"/>
    </w:pPr>
  </w:style>
  <w:style w:type="paragraph" w:styleId="22">
    <w:name w:val="toc 2"/>
    <w:basedOn w:val="10"/>
    <w:semiHidden/>
    <w:pPr>
      <w:spacing w:before="0"/>
      <w:ind w:left="851" w:hanging="851"/>
    </w:pPr>
    <w:rPr>
      <w:szCs w:val="20"/>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pPr>
      <w:ind w:left="851"/>
    </w:pPr>
  </w:style>
  <w:style w:type="paragraph" w:styleId="a7">
    <w:name w:val="List Number"/>
    <w:basedOn w:val="a4"/>
  </w:style>
  <w:style w:type="paragraph" w:styleId="40">
    <w:name w:val="List Bullet 4"/>
    <w:basedOn w:val="30"/>
    <w:pPr>
      <w:numPr>
        <w:numId w:val="2"/>
      </w:numPr>
    </w:pPr>
  </w:style>
  <w:style w:type="paragraph" w:styleId="30">
    <w:name w:val="List Bullet 3"/>
    <w:basedOn w:val="20"/>
    <w:pPr>
      <w:numPr>
        <w:numId w:val="3"/>
      </w:numPr>
    </w:pPr>
  </w:style>
  <w:style w:type="paragraph" w:styleId="20">
    <w:name w:val="List Bullet 2"/>
    <w:basedOn w:val="a"/>
    <w:pPr>
      <w:numPr>
        <w:numId w:val="4"/>
      </w:numPr>
    </w:pPr>
  </w:style>
  <w:style w:type="paragraph" w:styleId="a">
    <w:name w:val="List Bullet"/>
    <w:basedOn w:val="a8"/>
    <w:pPr>
      <w:numPr>
        <w:numId w:val="5"/>
      </w:numPr>
    </w:pPr>
  </w:style>
  <w:style w:type="paragraph" w:styleId="a8">
    <w:name w:val="Body Text"/>
    <w:basedOn w:val="a0"/>
    <w:link w:val="Char"/>
  </w:style>
  <w:style w:type="paragraph" w:styleId="a9">
    <w:name w:val="caption"/>
    <w:basedOn w:val="a0"/>
    <w:next w:val="a0"/>
    <w:uiPriority w:val="35"/>
    <w:qFormat/>
    <w:pPr>
      <w:spacing w:after="240"/>
      <w:jc w:val="center"/>
    </w:pPr>
    <w:rPr>
      <w:b/>
      <w:bCs/>
    </w:rPr>
  </w:style>
  <w:style w:type="paragraph" w:styleId="aa">
    <w:name w:val="Document Map"/>
    <w:basedOn w:val="a0"/>
    <w:semiHidden/>
    <w:pPr>
      <w:shd w:val="clear" w:color="auto" w:fill="000080"/>
    </w:pPr>
    <w:rPr>
      <w:rFonts w:ascii="Tahoma" w:hAnsi="Tahoma" w:cs="Tahoma"/>
    </w:rPr>
  </w:style>
  <w:style w:type="paragraph" w:styleId="50">
    <w:name w:val="List Bullet 5"/>
    <w:basedOn w:val="40"/>
    <w:pPr>
      <w:numPr>
        <w:numId w:val="6"/>
      </w:numPr>
      <w:tabs>
        <w:tab w:val="clear" w:pos="1361"/>
      </w:tabs>
    </w:pPr>
  </w:style>
  <w:style w:type="paragraph" w:styleId="80">
    <w:name w:val="toc 8"/>
    <w:basedOn w:val="10"/>
    <w:semiHidden/>
    <w:pPr>
      <w:spacing w:before="180"/>
      <w:ind w:left="2693" w:hanging="2693"/>
    </w:pPr>
    <w:rPr>
      <w:b w:val="0"/>
      <w:bCs/>
    </w:rPr>
  </w:style>
  <w:style w:type="paragraph" w:styleId="ab">
    <w:name w:val="Balloon Text"/>
    <w:basedOn w:val="a0"/>
    <w:semiHidden/>
    <w:rPr>
      <w:rFonts w:ascii="Tahoma" w:hAnsi="Tahoma" w:cs="Tahoma"/>
      <w:sz w:val="16"/>
      <w:szCs w:val="16"/>
    </w:rPr>
  </w:style>
  <w:style w:type="paragraph" w:styleId="ac">
    <w:name w:val="footer"/>
    <w:basedOn w:val="ad"/>
    <w:semiHidden/>
    <w:pPr>
      <w:jc w:val="center"/>
    </w:pPr>
    <w:rPr>
      <w:i/>
      <w:iCs/>
    </w:rPr>
  </w:style>
  <w:style w:type="paragraph" w:styleId="ad">
    <w:name w:val="header"/>
    <w:basedOn w:val="a0"/>
    <w:link w:val="Char0"/>
    <w:pPr>
      <w:widowControl w:val="0"/>
    </w:pPr>
    <w:rPr>
      <w:rFonts w:cs="Arial"/>
      <w:b/>
      <w:bCs/>
      <w:sz w:val="18"/>
      <w:szCs w:val="18"/>
    </w:rPr>
  </w:style>
  <w:style w:type="paragraph" w:styleId="ae">
    <w:name w:val="footnote text"/>
    <w:basedOn w:val="a0"/>
    <w:semiHidden/>
    <w:pPr>
      <w:keepLines/>
      <w:spacing w:after="0"/>
      <w:ind w:left="454" w:hanging="454"/>
    </w:pPr>
    <w:rPr>
      <w:sz w:val="16"/>
      <w:szCs w:val="16"/>
    </w:rPr>
  </w:style>
  <w:style w:type="paragraph" w:styleId="52">
    <w:name w:val="List 5"/>
    <w:basedOn w:val="42"/>
    <w:pPr>
      <w:ind w:left="1702"/>
    </w:pPr>
  </w:style>
  <w:style w:type="paragraph" w:styleId="42">
    <w:name w:val="List 4"/>
    <w:basedOn w:val="31"/>
    <w:pPr>
      <w:ind w:left="1418"/>
    </w:pPr>
  </w:style>
  <w:style w:type="paragraph" w:styleId="af">
    <w:name w:val="table of figures"/>
    <w:basedOn w:val="a0"/>
    <w:next w:val="a0"/>
    <w:uiPriority w:val="99"/>
    <w:pPr>
      <w:ind w:left="1418" w:hanging="1418"/>
      <w:jc w:val="left"/>
    </w:pPr>
    <w:rPr>
      <w:b/>
    </w:rPr>
  </w:style>
  <w:style w:type="paragraph" w:styleId="90">
    <w:name w:val="toc 9"/>
    <w:basedOn w:val="80"/>
    <w:semiHidden/>
    <w:pPr>
      <w:ind w:left="1418" w:hanging="1418"/>
    </w:pPr>
  </w:style>
  <w:style w:type="paragraph" w:styleId="af0">
    <w:name w:val="Normal (Web)"/>
    <w:basedOn w:val="a0"/>
    <w:rPr>
      <w:sz w:val="24"/>
    </w:rPr>
  </w:style>
  <w:style w:type="paragraph" w:styleId="11">
    <w:name w:val="index 1"/>
    <w:basedOn w:val="a0"/>
    <w:semiHidden/>
    <w:pPr>
      <w:keepLines/>
      <w:spacing w:after="0"/>
    </w:pPr>
  </w:style>
  <w:style w:type="paragraph" w:styleId="24">
    <w:name w:val="index 2"/>
    <w:basedOn w:val="11"/>
    <w:semiHidden/>
    <w:pPr>
      <w:ind w:left="284"/>
    </w:pPr>
  </w:style>
  <w:style w:type="character" w:styleId="af1">
    <w:name w:val="page number"/>
    <w:basedOn w:val="a1"/>
    <w:semiHidden/>
  </w:style>
  <w:style w:type="character" w:styleId="af2">
    <w:name w:val="FollowedHyperlink"/>
    <w:semiHidden/>
    <w:rPr>
      <w:color w:val="FF0000"/>
      <w:u w:val="single"/>
    </w:rPr>
  </w:style>
  <w:style w:type="character" w:styleId="af3">
    <w:name w:val="Hyperlink"/>
    <w:uiPriority w:val="99"/>
    <w:rPr>
      <w:color w:val="0000FF"/>
      <w:u w:val="single"/>
    </w:rPr>
  </w:style>
  <w:style w:type="character" w:styleId="af4">
    <w:name w:val="annotation reference"/>
    <w:semiHidden/>
    <w:rPr>
      <w:sz w:val="16"/>
      <w:szCs w:val="16"/>
    </w:rPr>
  </w:style>
  <w:style w:type="character" w:styleId="af5">
    <w:name w:val="footnote reference"/>
    <w:semiHidden/>
    <w:rPr>
      <w:b/>
      <w:bCs/>
      <w:position w:val="6"/>
      <w:sz w:val="16"/>
      <w:szCs w:val="16"/>
    </w:rPr>
  </w:style>
  <w:style w:type="table" w:styleId="af6">
    <w:name w:val="Table Grid"/>
    <w:basedOn w:val="a2"/>
    <w:uiPriority w:val="5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pPr>
      <w:keepNext/>
      <w:keepLines/>
      <w:spacing w:before="180"/>
      <w:jc w:val="center"/>
    </w:pPr>
  </w:style>
  <w:style w:type="paragraph" w:customStyle="1" w:styleId="3GPPHeader">
    <w:name w:val="3GPP_Header"/>
    <w:basedOn w:val="a0"/>
    <w:pPr>
      <w:tabs>
        <w:tab w:val="left" w:pos="1701"/>
        <w:tab w:val="right" w:pos="9639"/>
      </w:tabs>
      <w:spacing w:after="240"/>
    </w:pPr>
    <w:rPr>
      <w:b/>
      <w:sz w:val="24"/>
    </w:rPr>
  </w:style>
  <w:style w:type="paragraph" w:customStyle="1" w:styleId="EQ">
    <w:name w:val="EQ"/>
    <w:basedOn w:val="a0"/>
    <w:next w:val="a0"/>
    <w:pPr>
      <w:keepLines/>
      <w:tabs>
        <w:tab w:val="center" w:pos="4536"/>
        <w:tab w:val="right" w:pos="9072"/>
      </w:tabs>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Reference">
    <w:name w:val="Reference"/>
    <w:basedOn w:val="a0"/>
    <w:pPr>
      <w:numPr>
        <w:numId w:val="7"/>
      </w:numPr>
    </w:pPr>
  </w:style>
  <w:style w:type="paragraph" w:customStyle="1" w:styleId="B1">
    <w:name w:val="B1"/>
    <w:basedOn w:val="a4"/>
    <w:link w:val="B1Char1"/>
    <w:qFormat/>
    <w:pPr>
      <w:spacing w:after="180"/>
      <w:jc w:val="left"/>
    </w:pPr>
    <w:rPr>
      <w:lang w:eastAsia="en-US"/>
    </w:rPr>
  </w:style>
  <w:style w:type="paragraph" w:customStyle="1" w:styleId="B2">
    <w:name w:val="B2"/>
    <w:basedOn w:val="21"/>
    <w:pPr>
      <w:spacing w:after="180"/>
      <w:jc w:val="left"/>
    </w:pPr>
    <w:rPr>
      <w:lang w:eastAsia="en-US"/>
    </w:rPr>
  </w:style>
  <w:style w:type="paragraph" w:customStyle="1" w:styleId="B3">
    <w:name w:val="B3"/>
    <w:basedOn w:val="31"/>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8"/>
      </w:numPr>
      <w:tabs>
        <w:tab w:val="left" w:pos="1701"/>
      </w:tabs>
    </w:pPr>
    <w:rPr>
      <w:b/>
      <w:bCs/>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link w:val="TFChar"/>
    <w:pPr>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pPr>
      <w:framePr w:h="284" w:wrap="notBeside" w:hAnchor="text" w:y="852"/>
    </w:pPr>
    <w:rPr>
      <w:i w:val="0"/>
      <w:sz w:val="40"/>
    </w:rPr>
  </w:style>
  <w:style w:type="paragraph" w:customStyle="1" w:styleId="ZU">
    <w:name w:val="ZU"/>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hAnchor="text"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customStyle="1" w:styleId="Doc-text2">
    <w:name w:val="Doc-text2"/>
    <w:basedOn w:val="a0"/>
    <w:link w:val="Doc-text2Char"/>
    <w:qFormat/>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eastAsia="en-US"/>
    </w:rPr>
  </w:style>
  <w:style w:type="paragraph" w:customStyle="1" w:styleId="12">
    <w:name w:val="列出段落1"/>
    <w:basedOn w:val="a0"/>
    <w:uiPriority w:val="34"/>
    <w:qFormat/>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pPr>
      <w:adjustRightInd/>
      <w:spacing w:after="180"/>
      <w:ind w:left="720"/>
      <w:contextualSpacing/>
      <w:textAlignment w:val="auto"/>
    </w:pPr>
    <w:rPr>
      <w:rFonts w:eastAsia="Arial Unicode MS"/>
      <w:lang w:eastAsia="en-US"/>
    </w:rPr>
  </w:style>
  <w:style w:type="character" w:customStyle="1" w:styleId="1Char">
    <w:name w:val="标题 1 Char"/>
    <w:link w:val="1"/>
    <w:rPr>
      <w:rFonts w:ascii="Arial" w:hAnsi="Arial" w:cs="Arial"/>
      <w:sz w:val="36"/>
      <w:szCs w:val="36"/>
      <w:lang w:eastAsia="zh-CN"/>
    </w:rPr>
  </w:style>
  <w:style w:type="character" w:customStyle="1" w:styleId="Char">
    <w:name w:val="正文文本 Char"/>
    <w:link w:val="a8"/>
    <w:rPr>
      <w:rFonts w:ascii="Arial" w:hAnsi="Arial"/>
      <w:lang w:eastAsia="zh-CN"/>
    </w:rPr>
  </w:style>
  <w:style w:type="character" w:customStyle="1" w:styleId="ZGSM">
    <w:name w:val="ZGSM"/>
  </w:style>
  <w:style w:type="character" w:customStyle="1" w:styleId="Doc-text2Char">
    <w:name w:val="Doc-text2 Char"/>
    <w:link w:val="Doc-text2"/>
    <w:rPr>
      <w:rFonts w:ascii="Arial" w:eastAsia="MS Mincho" w:hAnsi="Arial"/>
      <w:szCs w:val="24"/>
    </w:rPr>
  </w:style>
  <w:style w:type="character" w:customStyle="1" w:styleId="PLChar">
    <w:name w:val="PL Char"/>
    <w:link w:val="PL"/>
    <w:qFormat/>
    <w:locked/>
    <w:rPr>
      <w:rFonts w:ascii="Courier New" w:hAnsi="Courier New" w:cs="Courier New"/>
      <w:sz w:val="16"/>
    </w:rPr>
  </w:style>
  <w:style w:type="character" w:customStyle="1" w:styleId="TALCar">
    <w:name w:val="TAL Car"/>
    <w:link w:val="TAL"/>
    <w:qFormat/>
    <w:locked/>
    <w:rPr>
      <w:rFonts w:ascii="Arial" w:hAnsi="Arial"/>
      <w:sz w:val="18"/>
    </w:rPr>
  </w:style>
  <w:style w:type="character" w:customStyle="1" w:styleId="TAHCar">
    <w:name w:val="TAH Car"/>
    <w:link w:val="TAH"/>
    <w:locked/>
    <w:rPr>
      <w:rFonts w:ascii="Arial" w:hAnsi="Arial"/>
      <w:b/>
      <w:sz w:val="18"/>
    </w:rPr>
  </w:style>
  <w:style w:type="character" w:customStyle="1" w:styleId="UnresolvedMention">
    <w:name w:val="Unresolved Mention"/>
    <w:uiPriority w:val="99"/>
    <w:unhideWhenUsed/>
    <w:rPr>
      <w:color w:val="808080"/>
      <w:shd w:val="clear" w:color="auto" w:fill="E6E6E6"/>
    </w:rPr>
  </w:style>
  <w:style w:type="character" w:customStyle="1" w:styleId="13">
    <w:name w:val="占位符文本1"/>
    <w:uiPriority w:val="99"/>
    <w:semiHidden/>
    <w:rPr>
      <w:color w:val="808080"/>
    </w:rPr>
  </w:style>
  <w:style w:type="character" w:customStyle="1" w:styleId="Char0">
    <w:name w:val="页眉 Char"/>
    <w:link w:val="ad"/>
    <w:rPr>
      <w:rFonts w:ascii="Arial" w:eastAsia="MS Mincho" w:hAnsi="Arial" w:cs="Arial"/>
      <w:b/>
      <w:sz w:val="24"/>
      <w:szCs w:val="24"/>
    </w:rPr>
  </w:style>
  <w:style w:type="character" w:customStyle="1" w:styleId="THChar">
    <w:name w:val="TH Char"/>
    <w:link w:val="TH"/>
    <w:rPr>
      <w:rFonts w:ascii="Arial" w:eastAsia="Times New Roman" w:hAnsi="Arial"/>
      <w:b/>
      <w:lang w:eastAsia="en-US"/>
    </w:rPr>
  </w:style>
  <w:style w:type="character" w:customStyle="1" w:styleId="B1Char1">
    <w:name w:val="B1 Char1"/>
    <w:link w:val="B1"/>
    <w:rPr>
      <w:rFonts w:ascii="Arial" w:eastAsia="Times New Roman" w:hAnsi="Arial"/>
      <w:lang w:eastAsia="en-US"/>
    </w:rPr>
  </w:style>
  <w:style w:type="character" w:customStyle="1" w:styleId="TFChar">
    <w:name w:val="TF Char"/>
    <w:link w:val="TF"/>
    <w:rPr>
      <w:rFonts w:ascii="Arial" w:eastAsia="Times New Roman" w:hAnsi="Arial"/>
      <w:b/>
      <w:lang w:eastAsia="en-US"/>
    </w:rPr>
  </w:style>
  <w:style w:type="character" w:customStyle="1" w:styleId="TACChar">
    <w:name w:val="TAC Char"/>
    <w:link w:val="TAC"/>
    <w:rPr>
      <w:rFonts w:ascii="Arial" w:eastAsia="Times New Roman" w:hAnsi="Arial"/>
      <w:sz w:val="18"/>
      <w:lang w:eastAsia="en-US"/>
    </w:rPr>
  </w:style>
  <w:style w:type="character" w:customStyle="1" w:styleId="Char1">
    <w:name w:val="列出段落 Char"/>
    <w:link w:val="25"/>
    <w:uiPriority w:val="34"/>
    <w:locked/>
    <w:rPr>
      <w:rFonts w:ascii="Arial" w:eastAsia="Arial Unicode MS"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44</TotalTime>
  <Pages>5</Pages>
  <Words>2013</Words>
  <Characters>11478</Characters>
  <Application>Microsoft Office Word</Application>
  <DocSecurity>0</DocSecurity>
  <Lines>95</Lines>
  <Paragraphs>26</Paragraphs>
  <ScaleCrop>false</ScaleCrop>
  <Company>Ericsson</Company>
  <LinksUpToDate>false</LinksUpToDate>
  <CharactersWithSpaces>13465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Chaili</cp:lastModifiedBy>
  <cp:revision>27</cp:revision>
  <cp:lastPrinted>2008-01-31T16:09:00Z</cp:lastPrinted>
  <dcterms:created xsi:type="dcterms:W3CDTF">2019-02-14T10:08:00Z</dcterms:created>
  <dcterms:modified xsi:type="dcterms:W3CDTF">2019-08-16T04:43:00Z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